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5705A9" w14:textId="77777777" w:rsidR="00483448" w:rsidRDefault="00E55178" w:rsidP="004065DC">
      <w:pPr>
        <w:spacing w:after="0" w:line="240" w:lineRule="auto"/>
        <w:jc w:val="center"/>
        <w:rPr>
          <w:rFonts w:ascii="Arial" w:hAnsi="Arial" w:cs="Arial"/>
          <w:b/>
          <w:caps/>
          <w:sz w:val="24"/>
          <w:szCs w:val="28"/>
        </w:rPr>
      </w:pPr>
      <w:bookmarkStart w:id="0" w:name="_GoBack"/>
      <w:bookmarkEnd w:id="0"/>
      <w:r>
        <w:rPr>
          <w:rFonts w:ascii="Arial" w:hAnsi="Arial" w:cs="Arial"/>
          <w:b/>
          <w:caps/>
          <w:sz w:val="24"/>
          <w:szCs w:val="28"/>
        </w:rPr>
        <w:t>Fracking</w:t>
      </w:r>
      <w:r w:rsidR="009B1B30">
        <w:rPr>
          <w:rFonts w:ascii="Arial" w:hAnsi="Arial" w:cs="Arial"/>
          <w:b/>
          <w:caps/>
          <w:sz w:val="24"/>
          <w:szCs w:val="28"/>
        </w:rPr>
        <w:t xml:space="preserve"> </w:t>
      </w:r>
      <w:r w:rsidR="003C561A">
        <w:rPr>
          <w:rFonts w:ascii="Arial" w:hAnsi="Arial" w:cs="Arial"/>
          <w:b/>
          <w:caps/>
          <w:sz w:val="24"/>
          <w:szCs w:val="28"/>
        </w:rPr>
        <w:t>Scorecard</w:t>
      </w:r>
      <w:r w:rsidR="003F4AC1">
        <w:rPr>
          <w:rFonts w:ascii="Arial" w:hAnsi="Arial" w:cs="Arial"/>
          <w:b/>
          <w:caps/>
          <w:sz w:val="24"/>
          <w:szCs w:val="28"/>
        </w:rPr>
        <w:t xml:space="preserve">:  </w:t>
      </w:r>
      <w:r w:rsidR="00F73EDE">
        <w:rPr>
          <w:rFonts w:ascii="Arial" w:hAnsi="Arial" w:cs="Arial"/>
          <w:b/>
          <w:caps/>
          <w:sz w:val="24"/>
          <w:szCs w:val="28"/>
        </w:rPr>
        <w:t>despite progress,</w:t>
      </w:r>
      <w:r w:rsidR="00117D64">
        <w:rPr>
          <w:rFonts w:ascii="Arial" w:hAnsi="Arial" w:cs="Arial"/>
          <w:b/>
          <w:caps/>
          <w:sz w:val="24"/>
          <w:szCs w:val="28"/>
        </w:rPr>
        <w:t xml:space="preserve"> </w:t>
      </w:r>
      <w:r w:rsidR="00117D64" w:rsidRPr="00117D64">
        <w:rPr>
          <w:rFonts w:ascii="Arial" w:hAnsi="Arial" w:cs="Arial"/>
          <w:b/>
          <w:caps/>
          <w:sz w:val="24"/>
          <w:szCs w:val="28"/>
        </w:rPr>
        <w:t xml:space="preserve">70 percent of </w:t>
      </w:r>
      <w:r w:rsidR="00A2614A">
        <w:rPr>
          <w:rFonts w:ascii="Arial" w:hAnsi="Arial" w:cs="Arial"/>
          <w:b/>
          <w:caps/>
          <w:sz w:val="24"/>
          <w:szCs w:val="28"/>
        </w:rPr>
        <w:t xml:space="preserve">OIL </w:t>
      </w:r>
      <w:r w:rsidR="00EB4A09">
        <w:rPr>
          <w:rFonts w:ascii="Arial" w:hAnsi="Arial" w:cs="Arial"/>
          <w:b/>
          <w:caps/>
          <w:sz w:val="24"/>
          <w:szCs w:val="28"/>
        </w:rPr>
        <w:t xml:space="preserve">&amp; </w:t>
      </w:r>
      <w:r w:rsidR="00A2614A">
        <w:rPr>
          <w:rFonts w:ascii="Arial" w:hAnsi="Arial" w:cs="Arial"/>
          <w:b/>
          <w:caps/>
          <w:sz w:val="24"/>
          <w:szCs w:val="28"/>
        </w:rPr>
        <w:t xml:space="preserve">GAS </w:t>
      </w:r>
      <w:r w:rsidR="00117D64">
        <w:rPr>
          <w:rFonts w:ascii="Arial" w:hAnsi="Arial" w:cs="Arial"/>
          <w:b/>
          <w:caps/>
          <w:sz w:val="24"/>
          <w:szCs w:val="28"/>
        </w:rPr>
        <w:t xml:space="preserve">companies </w:t>
      </w:r>
      <w:r w:rsidR="00F73EDE">
        <w:rPr>
          <w:rFonts w:ascii="Arial" w:hAnsi="Arial" w:cs="Arial"/>
          <w:b/>
          <w:caps/>
          <w:sz w:val="24"/>
          <w:szCs w:val="28"/>
        </w:rPr>
        <w:t xml:space="preserve">still </w:t>
      </w:r>
      <w:r w:rsidR="00EB4A09">
        <w:rPr>
          <w:rFonts w:ascii="Arial" w:hAnsi="Arial" w:cs="Arial"/>
          <w:b/>
          <w:caps/>
          <w:sz w:val="24"/>
          <w:szCs w:val="28"/>
        </w:rPr>
        <w:t>FAIL TO ADEQUATELY</w:t>
      </w:r>
      <w:r w:rsidR="00F73EDE">
        <w:rPr>
          <w:rFonts w:ascii="Arial" w:hAnsi="Arial" w:cs="Arial"/>
          <w:b/>
          <w:caps/>
          <w:sz w:val="24"/>
          <w:szCs w:val="28"/>
        </w:rPr>
        <w:t xml:space="preserve"> disclose risks</w:t>
      </w:r>
      <w:r w:rsidR="004065DC">
        <w:rPr>
          <w:rFonts w:ascii="Arial" w:hAnsi="Arial" w:cs="Arial"/>
          <w:b/>
          <w:caps/>
          <w:sz w:val="24"/>
          <w:szCs w:val="28"/>
        </w:rPr>
        <w:t xml:space="preserve"> to investors</w:t>
      </w:r>
    </w:p>
    <w:p w14:paraId="55810DF8" w14:textId="77777777" w:rsidR="00BE4617" w:rsidRPr="00483448" w:rsidRDefault="00BE4617" w:rsidP="00A45648">
      <w:pPr>
        <w:spacing w:after="0" w:line="240" w:lineRule="auto"/>
        <w:jc w:val="center"/>
        <w:rPr>
          <w:rFonts w:ascii="Arial" w:hAnsi="Arial" w:cs="Arial"/>
          <w:b/>
          <w:caps/>
          <w:sz w:val="20"/>
          <w:szCs w:val="20"/>
        </w:rPr>
      </w:pPr>
    </w:p>
    <w:p w14:paraId="5301BA62" w14:textId="77777777" w:rsidR="00915FDE" w:rsidRPr="003C0A50" w:rsidRDefault="004D6D2B" w:rsidP="00A45648">
      <w:pPr>
        <w:spacing w:after="0" w:line="240" w:lineRule="auto"/>
        <w:jc w:val="center"/>
        <w:rPr>
          <w:rFonts w:ascii="Arial" w:hAnsi="Arial" w:cs="Arial"/>
          <w:b/>
          <w:i/>
          <w:sz w:val="20"/>
          <w:szCs w:val="20"/>
        </w:rPr>
      </w:pPr>
      <w:r>
        <w:rPr>
          <w:rFonts w:ascii="Arial" w:hAnsi="Arial" w:cs="Arial"/>
          <w:b/>
          <w:i/>
          <w:sz w:val="20"/>
          <w:szCs w:val="20"/>
        </w:rPr>
        <w:t xml:space="preserve">Inadequate Reporting </w:t>
      </w:r>
      <w:r w:rsidR="000B66BD">
        <w:rPr>
          <w:rFonts w:ascii="Arial" w:hAnsi="Arial" w:cs="Arial"/>
          <w:b/>
          <w:i/>
          <w:sz w:val="20"/>
          <w:szCs w:val="20"/>
        </w:rPr>
        <w:t>of</w:t>
      </w:r>
      <w:r w:rsidR="001675A2" w:rsidRPr="001675A2">
        <w:rPr>
          <w:rFonts w:ascii="Arial" w:hAnsi="Arial" w:cs="Arial"/>
          <w:b/>
          <w:i/>
          <w:sz w:val="20"/>
          <w:szCs w:val="20"/>
        </w:rPr>
        <w:t xml:space="preserve"> Methane </w:t>
      </w:r>
      <w:r>
        <w:rPr>
          <w:rFonts w:ascii="Arial" w:hAnsi="Arial" w:cs="Arial"/>
          <w:b/>
          <w:i/>
          <w:sz w:val="20"/>
          <w:szCs w:val="20"/>
        </w:rPr>
        <w:t>Leakage</w:t>
      </w:r>
      <w:r w:rsidR="00F73EDE">
        <w:rPr>
          <w:rFonts w:ascii="Arial" w:hAnsi="Arial" w:cs="Arial"/>
          <w:b/>
          <w:i/>
          <w:sz w:val="20"/>
          <w:szCs w:val="20"/>
        </w:rPr>
        <w:t xml:space="preserve"> Risk</w:t>
      </w:r>
      <w:r w:rsidR="001675A2" w:rsidRPr="001675A2">
        <w:rPr>
          <w:rFonts w:ascii="Arial" w:hAnsi="Arial" w:cs="Arial"/>
          <w:b/>
          <w:i/>
          <w:sz w:val="20"/>
          <w:szCs w:val="20"/>
        </w:rPr>
        <w:t>s</w:t>
      </w:r>
      <w:r w:rsidR="00F73EDE">
        <w:rPr>
          <w:rFonts w:ascii="Arial" w:hAnsi="Arial" w:cs="Arial"/>
          <w:b/>
          <w:i/>
          <w:sz w:val="20"/>
          <w:szCs w:val="20"/>
        </w:rPr>
        <w:t xml:space="preserve"> </w:t>
      </w:r>
      <w:r>
        <w:rPr>
          <w:rFonts w:ascii="Arial" w:hAnsi="Arial" w:cs="Arial"/>
          <w:b/>
          <w:i/>
          <w:sz w:val="20"/>
          <w:szCs w:val="20"/>
        </w:rPr>
        <w:t>Found</w:t>
      </w:r>
      <w:r w:rsidR="001675A2">
        <w:rPr>
          <w:rFonts w:ascii="Arial" w:hAnsi="Arial" w:cs="Arial"/>
          <w:b/>
          <w:i/>
          <w:sz w:val="20"/>
          <w:szCs w:val="20"/>
        </w:rPr>
        <w:t>;</w:t>
      </w:r>
      <w:r w:rsidR="001675A2" w:rsidRPr="001675A2">
        <w:rPr>
          <w:rFonts w:ascii="Arial" w:hAnsi="Arial" w:cs="Arial"/>
          <w:b/>
          <w:i/>
          <w:sz w:val="20"/>
          <w:szCs w:val="20"/>
        </w:rPr>
        <w:t xml:space="preserve"> </w:t>
      </w:r>
      <w:r w:rsidR="00E648A4" w:rsidRPr="00E648A4">
        <w:rPr>
          <w:rFonts w:ascii="Arial" w:hAnsi="Arial" w:cs="Arial"/>
          <w:b/>
          <w:i/>
          <w:sz w:val="20"/>
          <w:szCs w:val="20"/>
        </w:rPr>
        <w:t xml:space="preserve">BHP Billiton Ranked </w:t>
      </w:r>
      <w:r w:rsidR="00F73EDE">
        <w:rPr>
          <w:rFonts w:ascii="Arial" w:hAnsi="Arial" w:cs="Arial"/>
          <w:b/>
          <w:i/>
          <w:sz w:val="20"/>
          <w:szCs w:val="20"/>
        </w:rPr>
        <w:t xml:space="preserve">Best for </w:t>
      </w:r>
      <w:r>
        <w:rPr>
          <w:rFonts w:ascii="Arial" w:hAnsi="Arial" w:cs="Arial"/>
          <w:b/>
          <w:i/>
          <w:sz w:val="20"/>
          <w:szCs w:val="20"/>
        </w:rPr>
        <w:t>Overall</w:t>
      </w:r>
      <w:r w:rsidR="00F73EDE">
        <w:rPr>
          <w:rFonts w:ascii="Arial" w:hAnsi="Arial" w:cs="Arial"/>
          <w:b/>
          <w:i/>
          <w:sz w:val="20"/>
          <w:szCs w:val="20"/>
        </w:rPr>
        <w:t xml:space="preserve"> Disclosure, </w:t>
      </w:r>
      <w:r w:rsidR="00E648A4">
        <w:rPr>
          <w:rFonts w:ascii="Arial" w:hAnsi="Arial" w:cs="Arial"/>
          <w:b/>
          <w:i/>
          <w:sz w:val="20"/>
          <w:szCs w:val="20"/>
        </w:rPr>
        <w:t>Hess, Apache, Noble Energy</w:t>
      </w:r>
      <w:r>
        <w:rPr>
          <w:rFonts w:ascii="Arial" w:hAnsi="Arial" w:cs="Arial"/>
          <w:b/>
          <w:i/>
          <w:sz w:val="20"/>
          <w:szCs w:val="20"/>
        </w:rPr>
        <w:t xml:space="preserve"> and CONSOL Energy Round Out Top 5.</w:t>
      </w:r>
    </w:p>
    <w:p w14:paraId="045832E6" w14:textId="77777777" w:rsidR="00915FDE" w:rsidRDefault="00915FDE" w:rsidP="00A45648">
      <w:pPr>
        <w:spacing w:after="0" w:line="240" w:lineRule="auto"/>
        <w:rPr>
          <w:rFonts w:ascii="Arial" w:hAnsi="Arial" w:cs="Arial"/>
          <w:b/>
          <w:sz w:val="20"/>
          <w:szCs w:val="20"/>
        </w:rPr>
      </w:pPr>
    </w:p>
    <w:p w14:paraId="46A5473E" w14:textId="77777777" w:rsidR="00F73EDE" w:rsidRDefault="009B1B30" w:rsidP="00A45648">
      <w:pPr>
        <w:spacing w:after="0" w:line="240" w:lineRule="auto"/>
        <w:rPr>
          <w:rFonts w:ascii="Arial" w:hAnsi="Arial" w:cs="Arial"/>
          <w:sz w:val="20"/>
          <w:szCs w:val="20"/>
        </w:rPr>
      </w:pPr>
      <w:r w:rsidRPr="00E648A4">
        <w:rPr>
          <w:rFonts w:ascii="Arial" w:hAnsi="Arial" w:cs="Arial"/>
          <w:b/>
          <w:sz w:val="20"/>
          <w:szCs w:val="20"/>
        </w:rPr>
        <w:t>BO</w:t>
      </w:r>
      <w:r w:rsidR="009A4FA6" w:rsidRPr="00E648A4">
        <w:rPr>
          <w:rFonts w:ascii="Arial" w:hAnsi="Arial" w:cs="Arial"/>
          <w:b/>
          <w:sz w:val="20"/>
          <w:szCs w:val="20"/>
        </w:rPr>
        <w:t>STON, MA///December 17</w:t>
      </w:r>
      <w:r w:rsidR="00E648A4">
        <w:rPr>
          <w:rFonts w:ascii="Arial" w:hAnsi="Arial" w:cs="Arial"/>
          <w:b/>
          <w:sz w:val="20"/>
          <w:szCs w:val="20"/>
        </w:rPr>
        <w:t>, 2015</w:t>
      </w:r>
      <w:r w:rsidR="00E75C44" w:rsidRPr="00E648A4">
        <w:rPr>
          <w:rFonts w:ascii="Arial" w:hAnsi="Arial" w:cs="Arial"/>
          <w:b/>
          <w:sz w:val="20"/>
          <w:szCs w:val="20"/>
        </w:rPr>
        <w:t>///</w:t>
      </w:r>
      <w:r w:rsidR="00F73EDE">
        <w:rPr>
          <w:rFonts w:ascii="Arial" w:hAnsi="Arial" w:cs="Arial"/>
          <w:sz w:val="20"/>
          <w:szCs w:val="20"/>
        </w:rPr>
        <w:t>The 2015 edition of an annual investor scorecard ranking the</w:t>
      </w:r>
      <w:r w:rsidR="00A42B82" w:rsidRPr="00E648A4">
        <w:rPr>
          <w:rFonts w:ascii="Arial" w:hAnsi="Arial" w:cs="Arial"/>
          <w:sz w:val="20"/>
          <w:szCs w:val="20"/>
        </w:rPr>
        <w:t xml:space="preserve"> 30 </w:t>
      </w:r>
      <w:r w:rsidR="00F40115" w:rsidRPr="00E648A4">
        <w:rPr>
          <w:rFonts w:ascii="Arial" w:hAnsi="Arial" w:cs="Arial"/>
          <w:sz w:val="20"/>
          <w:szCs w:val="20"/>
        </w:rPr>
        <w:t xml:space="preserve">largest </w:t>
      </w:r>
      <w:r w:rsidR="00897A0A" w:rsidRPr="00E648A4">
        <w:rPr>
          <w:rFonts w:ascii="Arial" w:hAnsi="Arial" w:cs="Arial"/>
          <w:sz w:val="20"/>
          <w:szCs w:val="20"/>
        </w:rPr>
        <w:t>o</w:t>
      </w:r>
      <w:r w:rsidRPr="00E648A4">
        <w:rPr>
          <w:rFonts w:ascii="Arial" w:hAnsi="Arial" w:cs="Arial"/>
          <w:sz w:val="20"/>
          <w:szCs w:val="20"/>
        </w:rPr>
        <w:t xml:space="preserve">il </w:t>
      </w:r>
      <w:r w:rsidR="007F7611" w:rsidRPr="00E648A4">
        <w:rPr>
          <w:rFonts w:ascii="Arial" w:hAnsi="Arial" w:cs="Arial"/>
          <w:sz w:val="20"/>
          <w:szCs w:val="20"/>
        </w:rPr>
        <w:t>and</w:t>
      </w:r>
      <w:r w:rsidRPr="00E648A4">
        <w:rPr>
          <w:rFonts w:ascii="Arial" w:hAnsi="Arial" w:cs="Arial"/>
          <w:sz w:val="20"/>
          <w:szCs w:val="20"/>
        </w:rPr>
        <w:t xml:space="preserve"> gas </w:t>
      </w:r>
      <w:r w:rsidR="00897A0A" w:rsidRPr="00E648A4">
        <w:rPr>
          <w:rFonts w:ascii="Arial" w:hAnsi="Arial" w:cs="Arial"/>
          <w:sz w:val="20"/>
          <w:szCs w:val="20"/>
        </w:rPr>
        <w:t>companies engaged in hydraulic fracturing</w:t>
      </w:r>
      <w:r w:rsidR="00F40115" w:rsidRPr="00E648A4">
        <w:rPr>
          <w:rFonts w:ascii="Arial" w:hAnsi="Arial" w:cs="Arial"/>
          <w:sz w:val="20"/>
          <w:szCs w:val="20"/>
        </w:rPr>
        <w:t xml:space="preserve">, or </w:t>
      </w:r>
      <w:r w:rsidR="00A45648">
        <w:rPr>
          <w:rFonts w:ascii="Arial" w:hAnsi="Arial" w:cs="Arial"/>
          <w:sz w:val="20"/>
          <w:szCs w:val="20"/>
        </w:rPr>
        <w:t>“fracking,”</w:t>
      </w:r>
      <w:r w:rsidR="001675A2">
        <w:rPr>
          <w:rFonts w:ascii="Arial" w:hAnsi="Arial" w:cs="Arial"/>
          <w:sz w:val="20"/>
          <w:szCs w:val="20"/>
        </w:rPr>
        <w:t xml:space="preserve"> </w:t>
      </w:r>
      <w:r w:rsidR="00F73EDE">
        <w:rPr>
          <w:rFonts w:ascii="Arial" w:hAnsi="Arial" w:cs="Arial"/>
          <w:sz w:val="20"/>
          <w:szCs w:val="20"/>
        </w:rPr>
        <w:t xml:space="preserve">finds improved risk disclosure by </w:t>
      </w:r>
      <w:r w:rsidR="00640676">
        <w:rPr>
          <w:rFonts w:ascii="Arial" w:hAnsi="Arial" w:cs="Arial"/>
          <w:sz w:val="20"/>
          <w:szCs w:val="20"/>
        </w:rPr>
        <w:t>a few</w:t>
      </w:r>
      <w:r w:rsidR="004065DC">
        <w:rPr>
          <w:rFonts w:ascii="Arial" w:hAnsi="Arial" w:cs="Arial"/>
          <w:sz w:val="20"/>
          <w:szCs w:val="20"/>
        </w:rPr>
        <w:t xml:space="preserve"> </w:t>
      </w:r>
      <w:r w:rsidR="00F73EDE">
        <w:rPr>
          <w:rFonts w:ascii="Arial" w:hAnsi="Arial" w:cs="Arial"/>
          <w:sz w:val="20"/>
          <w:szCs w:val="20"/>
        </w:rPr>
        <w:t xml:space="preserve">companies, even as 70 percent of the energy companies </w:t>
      </w:r>
      <w:r w:rsidR="00A45648">
        <w:rPr>
          <w:rFonts w:ascii="Arial" w:hAnsi="Arial" w:cs="Arial"/>
          <w:sz w:val="20"/>
          <w:szCs w:val="20"/>
        </w:rPr>
        <w:t>continue to get</w:t>
      </w:r>
      <w:r w:rsidR="00F73EDE">
        <w:rPr>
          <w:rFonts w:ascii="Arial" w:hAnsi="Arial" w:cs="Arial"/>
          <w:sz w:val="20"/>
          <w:szCs w:val="20"/>
        </w:rPr>
        <w:t xml:space="preserve"> failing marks.</w:t>
      </w:r>
      <w:r w:rsidR="004D6D2B">
        <w:rPr>
          <w:rFonts w:ascii="Arial" w:hAnsi="Arial" w:cs="Arial"/>
          <w:sz w:val="20"/>
          <w:szCs w:val="20"/>
        </w:rPr>
        <w:t xml:space="preserve"> </w:t>
      </w:r>
      <w:r w:rsidR="00F73EDE">
        <w:rPr>
          <w:rFonts w:ascii="Arial" w:hAnsi="Arial" w:cs="Arial"/>
          <w:sz w:val="20"/>
          <w:szCs w:val="20"/>
        </w:rPr>
        <w:t xml:space="preserve">  </w:t>
      </w:r>
    </w:p>
    <w:p w14:paraId="4DAAFD60" w14:textId="77777777" w:rsidR="00F73EDE" w:rsidRDefault="00F73EDE" w:rsidP="00A45648">
      <w:pPr>
        <w:spacing w:after="0" w:line="240" w:lineRule="auto"/>
        <w:rPr>
          <w:rFonts w:ascii="Arial" w:hAnsi="Arial" w:cs="Arial"/>
          <w:sz w:val="20"/>
          <w:szCs w:val="20"/>
        </w:rPr>
      </w:pPr>
    </w:p>
    <w:p w14:paraId="33C71C46" w14:textId="7A0E4DF7" w:rsidR="00E75C44" w:rsidRPr="00E648A4" w:rsidRDefault="00F73EDE" w:rsidP="00A45648">
      <w:pPr>
        <w:spacing w:after="0" w:line="240" w:lineRule="auto"/>
        <w:rPr>
          <w:rFonts w:ascii="Arial" w:hAnsi="Arial" w:cs="Arial"/>
          <w:sz w:val="20"/>
          <w:szCs w:val="20"/>
        </w:rPr>
      </w:pPr>
      <w:r>
        <w:rPr>
          <w:rFonts w:ascii="Arial" w:hAnsi="Arial" w:cs="Arial"/>
          <w:sz w:val="20"/>
          <w:szCs w:val="20"/>
        </w:rPr>
        <w:t xml:space="preserve">Available online at </w:t>
      </w:r>
      <w:hyperlink r:id="rId7" w:history="1">
        <w:r w:rsidRPr="007105BB">
          <w:rPr>
            <w:rStyle w:val="Hyperlink"/>
            <w:rFonts w:ascii="Arial" w:hAnsi="Arial" w:cs="Arial"/>
            <w:sz w:val="20"/>
            <w:szCs w:val="20"/>
          </w:rPr>
          <w:t>www.disclosingthefacts.org</w:t>
        </w:r>
      </w:hyperlink>
      <w:r w:rsidR="000D5057">
        <w:rPr>
          <w:rFonts w:ascii="Arial" w:hAnsi="Arial" w:cs="Arial"/>
          <w:sz w:val="20"/>
          <w:szCs w:val="20"/>
        </w:rPr>
        <w:t>, the</w:t>
      </w:r>
      <w:r>
        <w:rPr>
          <w:rFonts w:ascii="Arial" w:hAnsi="Arial" w:cs="Arial"/>
          <w:sz w:val="20"/>
          <w:szCs w:val="20"/>
        </w:rPr>
        <w:t xml:space="preserve"> </w:t>
      </w:r>
      <w:r w:rsidR="00640676">
        <w:rPr>
          <w:rFonts w:ascii="Arial" w:hAnsi="Arial" w:cs="Arial"/>
          <w:sz w:val="20"/>
          <w:szCs w:val="20"/>
        </w:rPr>
        <w:t xml:space="preserve">third </w:t>
      </w:r>
      <w:r>
        <w:rPr>
          <w:rFonts w:ascii="Arial" w:hAnsi="Arial" w:cs="Arial"/>
          <w:sz w:val="20"/>
          <w:szCs w:val="20"/>
        </w:rPr>
        <w:t xml:space="preserve">annual </w:t>
      </w:r>
      <w:r w:rsidR="00A45648" w:rsidRPr="00A45648">
        <w:rPr>
          <w:rFonts w:ascii="Arial" w:hAnsi="Arial" w:cs="Arial"/>
          <w:i/>
          <w:sz w:val="20"/>
          <w:szCs w:val="20"/>
        </w:rPr>
        <w:t>Disclosing the Facts</w:t>
      </w:r>
      <w:r w:rsidR="00A45648">
        <w:rPr>
          <w:rFonts w:ascii="Arial" w:hAnsi="Arial" w:cs="Arial"/>
          <w:sz w:val="20"/>
          <w:szCs w:val="20"/>
        </w:rPr>
        <w:t xml:space="preserve"> </w:t>
      </w:r>
      <w:r>
        <w:rPr>
          <w:rFonts w:ascii="Arial" w:hAnsi="Arial" w:cs="Arial"/>
          <w:sz w:val="20"/>
          <w:szCs w:val="20"/>
        </w:rPr>
        <w:t xml:space="preserve">report from </w:t>
      </w:r>
      <w:r w:rsidRPr="00244A01">
        <w:rPr>
          <w:rFonts w:ascii="Arial" w:hAnsi="Arial" w:cs="Arial"/>
          <w:sz w:val="20"/>
          <w:szCs w:val="20"/>
        </w:rPr>
        <w:t>As You Sow,</w:t>
      </w:r>
      <w:r>
        <w:rPr>
          <w:rFonts w:ascii="Arial" w:hAnsi="Arial" w:cs="Arial"/>
          <w:sz w:val="20"/>
          <w:szCs w:val="20"/>
        </w:rPr>
        <w:t xml:space="preserve"> Boston Common Asset Management</w:t>
      </w:r>
      <w:r w:rsidR="00D033C8">
        <w:rPr>
          <w:rFonts w:ascii="Arial" w:hAnsi="Arial" w:cs="Arial"/>
          <w:sz w:val="20"/>
          <w:szCs w:val="20"/>
        </w:rPr>
        <w:t>,</w:t>
      </w:r>
      <w:r w:rsidRPr="00363946">
        <w:rPr>
          <w:rFonts w:ascii="Arial" w:hAnsi="Arial" w:cs="Arial"/>
          <w:sz w:val="20"/>
          <w:szCs w:val="20"/>
        </w:rPr>
        <w:t xml:space="preserve"> and the Investor Environmental Health Network</w:t>
      </w:r>
      <w:r w:rsidR="00EB4A09">
        <w:rPr>
          <w:rFonts w:ascii="Arial" w:hAnsi="Arial" w:cs="Arial"/>
          <w:sz w:val="20"/>
          <w:szCs w:val="20"/>
        </w:rPr>
        <w:t xml:space="preserve"> (IEHN)</w:t>
      </w:r>
      <w:r>
        <w:rPr>
          <w:rFonts w:ascii="Arial" w:hAnsi="Arial" w:cs="Arial"/>
          <w:sz w:val="20"/>
          <w:szCs w:val="20"/>
        </w:rPr>
        <w:t xml:space="preserve"> gauges how well the </w:t>
      </w:r>
      <w:r w:rsidR="00B064F3">
        <w:rPr>
          <w:rFonts w:ascii="Arial" w:hAnsi="Arial" w:cs="Arial"/>
          <w:sz w:val="20"/>
          <w:szCs w:val="20"/>
        </w:rPr>
        <w:t xml:space="preserve">oil and gas </w:t>
      </w:r>
      <w:r>
        <w:rPr>
          <w:rFonts w:ascii="Arial" w:hAnsi="Arial" w:cs="Arial"/>
          <w:sz w:val="20"/>
          <w:szCs w:val="20"/>
        </w:rPr>
        <w:t xml:space="preserve">companies do in providing information so that investors can </w:t>
      </w:r>
      <w:r w:rsidR="00B3584F" w:rsidRPr="00E648A4">
        <w:rPr>
          <w:rFonts w:ascii="Arial" w:hAnsi="Arial" w:cs="Arial"/>
          <w:sz w:val="20"/>
          <w:szCs w:val="20"/>
        </w:rPr>
        <w:t xml:space="preserve">accurately </w:t>
      </w:r>
      <w:r w:rsidR="00F40115" w:rsidRPr="00E648A4">
        <w:rPr>
          <w:rFonts w:ascii="Arial" w:hAnsi="Arial" w:cs="Arial"/>
          <w:sz w:val="20"/>
          <w:szCs w:val="20"/>
        </w:rPr>
        <w:t>assess</w:t>
      </w:r>
      <w:r>
        <w:rPr>
          <w:rFonts w:ascii="Arial" w:hAnsi="Arial" w:cs="Arial"/>
          <w:sz w:val="20"/>
          <w:szCs w:val="20"/>
        </w:rPr>
        <w:t xml:space="preserve"> </w:t>
      </w:r>
      <w:r w:rsidR="00B3584F" w:rsidRPr="00E648A4">
        <w:rPr>
          <w:rFonts w:ascii="Arial" w:hAnsi="Arial" w:cs="Arial"/>
          <w:sz w:val="20"/>
          <w:szCs w:val="20"/>
        </w:rPr>
        <w:t>how</w:t>
      </w:r>
      <w:r w:rsidR="00B4599B" w:rsidRPr="00E648A4">
        <w:rPr>
          <w:rFonts w:ascii="Arial" w:hAnsi="Arial" w:cs="Arial"/>
          <w:sz w:val="20"/>
          <w:szCs w:val="20"/>
        </w:rPr>
        <w:t>, or whether,</w:t>
      </w:r>
      <w:r w:rsidR="00B3584F" w:rsidRPr="00E648A4">
        <w:rPr>
          <w:rFonts w:ascii="Arial" w:hAnsi="Arial" w:cs="Arial"/>
          <w:sz w:val="20"/>
          <w:szCs w:val="20"/>
        </w:rPr>
        <w:t xml:space="preserve"> </w:t>
      </w:r>
      <w:r w:rsidR="00363946" w:rsidRPr="00E648A4">
        <w:rPr>
          <w:rFonts w:ascii="Arial" w:hAnsi="Arial" w:cs="Arial"/>
          <w:sz w:val="20"/>
          <w:szCs w:val="20"/>
        </w:rPr>
        <w:t xml:space="preserve">these </w:t>
      </w:r>
      <w:r w:rsidR="00B3584F" w:rsidRPr="00E648A4">
        <w:rPr>
          <w:rFonts w:ascii="Arial" w:hAnsi="Arial" w:cs="Arial"/>
          <w:sz w:val="20"/>
          <w:szCs w:val="20"/>
        </w:rPr>
        <w:t xml:space="preserve">companies manage </w:t>
      </w:r>
      <w:r w:rsidR="00B4599B" w:rsidRPr="00E648A4">
        <w:rPr>
          <w:rFonts w:ascii="Arial" w:hAnsi="Arial" w:cs="Arial"/>
          <w:sz w:val="20"/>
          <w:szCs w:val="20"/>
        </w:rPr>
        <w:t>key risks of fracking</w:t>
      </w:r>
      <w:r w:rsidR="002D4EFE" w:rsidRPr="00E648A4">
        <w:rPr>
          <w:rFonts w:ascii="Arial" w:hAnsi="Arial" w:cs="Arial"/>
          <w:sz w:val="20"/>
          <w:szCs w:val="20"/>
        </w:rPr>
        <w:t>,</w:t>
      </w:r>
      <w:r w:rsidR="00244A01" w:rsidRPr="00E648A4">
        <w:rPr>
          <w:rFonts w:ascii="Arial" w:hAnsi="Arial" w:cs="Arial"/>
          <w:sz w:val="20"/>
          <w:szCs w:val="20"/>
        </w:rPr>
        <w:t xml:space="preserve"> </w:t>
      </w:r>
      <w:r w:rsidR="00280E63" w:rsidRPr="00E648A4">
        <w:rPr>
          <w:rFonts w:ascii="Arial" w:hAnsi="Arial" w:cs="Arial"/>
          <w:sz w:val="20"/>
          <w:szCs w:val="20"/>
        </w:rPr>
        <w:t xml:space="preserve">including </w:t>
      </w:r>
      <w:r w:rsidR="002D4EFE" w:rsidRPr="00E648A4">
        <w:rPr>
          <w:rFonts w:ascii="Arial" w:hAnsi="Arial" w:cs="Arial"/>
          <w:sz w:val="20"/>
          <w:szCs w:val="20"/>
        </w:rPr>
        <w:t xml:space="preserve">use of </w:t>
      </w:r>
      <w:r w:rsidR="00280E63" w:rsidRPr="00E648A4">
        <w:rPr>
          <w:rFonts w:ascii="Arial" w:hAnsi="Arial" w:cs="Arial"/>
          <w:sz w:val="20"/>
          <w:szCs w:val="20"/>
        </w:rPr>
        <w:t>toxic chemicals, water</w:t>
      </w:r>
      <w:r w:rsidR="00363946" w:rsidRPr="00E648A4">
        <w:rPr>
          <w:rFonts w:ascii="Arial" w:hAnsi="Arial" w:cs="Arial"/>
          <w:sz w:val="20"/>
          <w:szCs w:val="20"/>
        </w:rPr>
        <w:t xml:space="preserve"> consumption and water quality</w:t>
      </w:r>
      <w:r w:rsidR="002D4EFE" w:rsidRPr="00E648A4">
        <w:rPr>
          <w:rFonts w:ascii="Arial" w:hAnsi="Arial" w:cs="Arial"/>
          <w:sz w:val="20"/>
          <w:szCs w:val="20"/>
        </w:rPr>
        <w:t>,</w:t>
      </w:r>
      <w:r w:rsidR="00363946" w:rsidRPr="00E648A4">
        <w:rPr>
          <w:rFonts w:ascii="Arial" w:hAnsi="Arial" w:cs="Arial"/>
          <w:sz w:val="20"/>
          <w:szCs w:val="20"/>
        </w:rPr>
        <w:t xml:space="preserve"> </w:t>
      </w:r>
      <w:r w:rsidR="00280E63" w:rsidRPr="00E648A4">
        <w:rPr>
          <w:rFonts w:ascii="Arial" w:hAnsi="Arial" w:cs="Arial"/>
          <w:sz w:val="20"/>
          <w:szCs w:val="20"/>
        </w:rPr>
        <w:t>waste</w:t>
      </w:r>
      <w:r w:rsidR="00363946" w:rsidRPr="00E648A4">
        <w:rPr>
          <w:rFonts w:ascii="Arial" w:hAnsi="Arial" w:cs="Arial"/>
          <w:sz w:val="20"/>
          <w:szCs w:val="20"/>
        </w:rPr>
        <w:t xml:space="preserve"> </w:t>
      </w:r>
      <w:r w:rsidR="00FA087F" w:rsidRPr="00E648A4">
        <w:rPr>
          <w:rFonts w:ascii="Arial" w:hAnsi="Arial" w:cs="Arial"/>
          <w:sz w:val="20"/>
          <w:szCs w:val="20"/>
        </w:rPr>
        <w:t xml:space="preserve">management, </w:t>
      </w:r>
      <w:r w:rsidR="00363946" w:rsidRPr="00E648A4">
        <w:rPr>
          <w:rFonts w:ascii="Arial" w:hAnsi="Arial" w:cs="Arial"/>
          <w:sz w:val="20"/>
          <w:szCs w:val="20"/>
        </w:rPr>
        <w:t>air emissions</w:t>
      </w:r>
      <w:r w:rsidR="002D4EFE" w:rsidRPr="00E648A4">
        <w:rPr>
          <w:rFonts w:ascii="Arial" w:hAnsi="Arial" w:cs="Arial"/>
          <w:sz w:val="20"/>
          <w:szCs w:val="20"/>
        </w:rPr>
        <w:t>,</w:t>
      </w:r>
      <w:r w:rsidR="00EB4A09">
        <w:rPr>
          <w:rFonts w:ascii="Arial" w:hAnsi="Arial" w:cs="Arial"/>
          <w:sz w:val="20"/>
          <w:szCs w:val="20"/>
        </w:rPr>
        <w:t xml:space="preserve"> methane leakage,</w:t>
      </w:r>
      <w:r w:rsidR="002D4EFE" w:rsidRPr="00E648A4">
        <w:rPr>
          <w:rFonts w:ascii="Arial" w:hAnsi="Arial" w:cs="Arial"/>
          <w:sz w:val="20"/>
          <w:szCs w:val="20"/>
        </w:rPr>
        <w:t xml:space="preserve"> and</w:t>
      </w:r>
      <w:r w:rsidR="00363946" w:rsidRPr="00E648A4">
        <w:rPr>
          <w:rFonts w:ascii="Arial" w:hAnsi="Arial" w:cs="Arial"/>
          <w:sz w:val="20"/>
          <w:szCs w:val="20"/>
        </w:rPr>
        <w:t xml:space="preserve"> </w:t>
      </w:r>
      <w:r w:rsidR="00280E63" w:rsidRPr="00E648A4">
        <w:rPr>
          <w:rFonts w:ascii="Arial" w:hAnsi="Arial" w:cs="Arial"/>
          <w:sz w:val="20"/>
          <w:szCs w:val="20"/>
        </w:rPr>
        <w:t>community impacts</w:t>
      </w:r>
      <w:r w:rsidR="009A4FA6" w:rsidRPr="00E648A4">
        <w:rPr>
          <w:rFonts w:ascii="Arial" w:hAnsi="Arial" w:cs="Arial"/>
          <w:sz w:val="20"/>
          <w:szCs w:val="20"/>
        </w:rPr>
        <w:t xml:space="preserve">.  </w:t>
      </w:r>
    </w:p>
    <w:p w14:paraId="78947F72" w14:textId="77777777" w:rsidR="00E75C44" w:rsidRDefault="00E75C44" w:rsidP="00A45648">
      <w:pPr>
        <w:spacing w:after="0" w:line="240" w:lineRule="auto"/>
        <w:rPr>
          <w:rFonts w:ascii="Arial" w:hAnsi="Arial" w:cs="Arial"/>
          <w:sz w:val="20"/>
          <w:szCs w:val="20"/>
        </w:rPr>
      </w:pPr>
    </w:p>
    <w:p w14:paraId="73EA2655" w14:textId="77777777" w:rsidR="00E75C44" w:rsidRDefault="00D033C8" w:rsidP="00A45648">
      <w:pPr>
        <w:spacing w:after="0" w:line="240" w:lineRule="auto"/>
        <w:rPr>
          <w:rFonts w:ascii="Arial" w:hAnsi="Arial" w:cs="Arial"/>
          <w:sz w:val="20"/>
          <w:szCs w:val="20"/>
        </w:rPr>
      </w:pPr>
      <w:r>
        <w:rPr>
          <w:rFonts w:ascii="Arial" w:hAnsi="Arial" w:cs="Arial"/>
          <w:sz w:val="20"/>
          <w:szCs w:val="20"/>
        </w:rPr>
        <w:t>E</w:t>
      </w:r>
      <w:r w:rsidR="0069650B">
        <w:rPr>
          <w:rFonts w:ascii="Arial" w:hAnsi="Arial" w:cs="Arial"/>
          <w:sz w:val="20"/>
          <w:szCs w:val="20"/>
        </w:rPr>
        <w:t>ight</w:t>
      </w:r>
      <w:r w:rsidR="00E75C44">
        <w:rPr>
          <w:rFonts w:ascii="Arial" w:hAnsi="Arial" w:cs="Arial"/>
          <w:sz w:val="20"/>
          <w:szCs w:val="20"/>
        </w:rPr>
        <w:t xml:space="preserve"> </w:t>
      </w:r>
      <w:r w:rsidR="00E75C44" w:rsidRPr="006B67B8">
        <w:rPr>
          <w:rFonts w:ascii="Arial" w:hAnsi="Arial" w:cs="Arial"/>
          <w:sz w:val="20"/>
          <w:szCs w:val="20"/>
        </w:rPr>
        <w:t xml:space="preserve">oil </w:t>
      </w:r>
      <w:r w:rsidR="00BA16B9">
        <w:rPr>
          <w:rFonts w:ascii="Arial" w:hAnsi="Arial" w:cs="Arial"/>
          <w:sz w:val="20"/>
          <w:szCs w:val="20"/>
        </w:rPr>
        <w:t>and</w:t>
      </w:r>
      <w:r w:rsidR="00E75C44">
        <w:rPr>
          <w:rFonts w:ascii="Arial" w:hAnsi="Arial" w:cs="Arial"/>
          <w:sz w:val="20"/>
          <w:szCs w:val="20"/>
        </w:rPr>
        <w:t xml:space="preserve"> </w:t>
      </w:r>
      <w:r w:rsidR="00E75C44" w:rsidRPr="006B67B8">
        <w:rPr>
          <w:rFonts w:ascii="Arial" w:hAnsi="Arial" w:cs="Arial"/>
          <w:sz w:val="20"/>
          <w:szCs w:val="20"/>
        </w:rPr>
        <w:t xml:space="preserve">gas </w:t>
      </w:r>
      <w:r w:rsidR="00E75C44">
        <w:rPr>
          <w:rFonts w:ascii="Arial" w:hAnsi="Arial" w:cs="Arial"/>
          <w:sz w:val="20"/>
          <w:szCs w:val="20"/>
        </w:rPr>
        <w:t xml:space="preserve">companies </w:t>
      </w:r>
      <w:r w:rsidR="004D6D2B">
        <w:rPr>
          <w:rFonts w:ascii="Arial" w:hAnsi="Arial" w:cs="Arial"/>
          <w:sz w:val="20"/>
          <w:szCs w:val="20"/>
        </w:rPr>
        <w:t>made</w:t>
      </w:r>
      <w:r w:rsidR="00E75C44">
        <w:rPr>
          <w:rFonts w:ascii="Arial" w:hAnsi="Arial" w:cs="Arial"/>
          <w:sz w:val="20"/>
          <w:szCs w:val="20"/>
        </w:rPr>
        <w:t xml:space="preserve"> </w:t>
      </w:r>
      <w:r w:rsidR="00576989">
        <w:rPr>
          <w:rFonts w:ascii="Arial" w:hAnsi="Arial" w:cs="Arial"/>
          <w:sz w:val="20"/>
          <w:szCs w:val="20"/>
        </w:rPr>
        <w:t>substantial progress</w:t>
      </w:r>
      <w:r w:rsidR="00E75C44">
        <w:rPr>
          <w:rFonts w:ascii="Arial" w:hAnsi="Arial" w:cs="Arial"/>
          <w:sz w:val="20"/>
          <w:szCs w:val="20"/>
        </w:rPr>
        <w:t xml:space="preserve"> in</w:t>
      </w:r>
      <w:r w:rsidR="00BA16B9">
        <w:rPr>
          <w:rFonts w:ascii="Arial" w:hAnsi="Arial" w:cs="Arial"/>
          <w:sz w:val="20"/>
          <w:szCs w:val="20"/>
        </w:rPr>
        <w:t xml:space="preserve"> their</w:t>
      </w:r>
      <w:r w:rsidR="00576989">
        <w:rPr>
          <w:rFonts w:ascii="Arial" w:hAnsi="Arial" w:cs="Arial"/>
          <w:sz w:val="20"/>
          <w:szCs w:val="20"/>
        </w:rPr>
        <w:t xml:space="preserve"> 2015</w:t>
      </w:r>
      <w:r w:rsidR="00E75C44">
        <w:rPr>
          <w:rFonts w:ascii="Arial" w:hAnsi="Arial" w:cs="Arial"/>
          <w:sz w:val="20"/>
          <w:szCs w:val="20"/>
        </w:rPr>
        <w:t xml:space="preserve"> disclosure</w:t>
      </w:r>
      <w:r w:rsidR="00BA16B9">
        <w:rPr>
          <w:rFonts w:ascii="Arial" w:hAnsi="Arial" w:cs="Arial"/>
          <w:sz w:val="20"/>
          <w:szCs w:val="20"/>
        </w:rPr>
        <w:t>s</w:t>
      </w:r>
      <w:r>
        <w:rPr>
          <w:rFonts w:ascii="Arial" w:hAnsi="Arial" w:cs="Arial"/>
          <w:sz w:val="20"/>
          <w:szCs w:val="20"/>
        </w:rPr>
        <w:t>, spurred in part</w:t>
      </w:r>
      <w:r w:rsidRPr="006B67B8">
        <w:rPr>
          <w:rFonts w:ascii="Arial" w:hAnsi="Arial" w:cs="Arial"/>
          <w:sz w:val="20"/>
          <w:szCs w:val="20"/>
        </w:rPr>
        <w:t xml:space="preserve"> by </w:t>
      </w:r>
      <w:r>
        <w:rPr>
          <w:rFonts w:ascii="Arial" w:hAnsi="Arial" w:cs="Arial"/>
          <w:sz w:val="20"/>
          <w:szCs w:val="20"/>
        </w:rPr>
        <w:t>the earlier scorecards as well as by shareholder engagements involving a</w:t>
      </w:r>
      <w:r w:rsidR="00EB4A09">
        <w:rPr>
          <w:rFonts w:ascii="Arial" w:hAnsi="Arial" w:cs="Arial"/>
          <w:sz w:val="20"/>
          <w:szCs w:val="20"/>
        </w:rPr>
        <w:t xml:space="preserve"> wide</w:t>
      </w:r>
      <w:r>
        <w:rPr>
          <w:rFonts w:ascii="Arial" w:hAnsi="Arial" w:cs="Arial"/>
          <w:sz w:val="20"/>
          <w:szCs w:val="20"/>
        </w:rPr>
        <w:t xml:space="preserve"> range of investors</w:t>
      </w:r>
      <w:r w:rsidR="00E75C44">
        <w:rPr>
          <w:rFonts w:ascii="Arial" w:hAnsi="Arial" w:cs="Arial"/>
          <w:sz w:val="20"/>
          <w:szCs w:val="20"/>
        </w:rPr>
        <w:t xml:space="preserve">. </w:t>
      </w:r>
      <w:r w:rsidR="00E75C44" w:rsidRPr="00702266">
        <w:rPr>
          <w:rFonts w:ascii="Arial" w:hAnsi="Arial" w:cs="Arial"/>
          <w:sz w:val="20"/>
          <w:szCs w:val="20"/>
        </w:rPr>
        <w:t>BHP</w:t>
      </w:r>
      <w:r w:rsidR="00BA16B9">
        <w:rPr>
          <w:rFonts w:ascii="Arial" w:hAnsi="Arial" w:cs="Arial"/>
          <w:sz w:val="20"/>
          <w:szCs w:val="20"/>
        </w:rPr>
        <w:t xml:space="preserve"> </w:t>
      </w:r>
      <w:r w:rsidR="00E75C44" w:rsidRPr="00702266">
        <w:rPr>
          <w:rFonts w:ascii="Arial" w:hAnsi="Arial" w:cs="Arial"/>
          <w:sz w:val="20"/>
          <w:szCs w:val="20"/>
        </w:rPr>
        <w:t>Billiton emerged as the highest</w:t>
      </w:r>
      <w:r w:rsidR="00EB4A09">
        <w:rPr>
          <w:rFonts w:ascii="Arial" w:hAnsi="Arial" w:cs="Arial"/>
          <w:sz w:val="20"/>
          <w:szCs w:val="20"/>
        </w:rPr>
        <w:t>-</w:t>
      </w:r>
      <w:r w:rsidR="00E75C44">
        <w:rPr>
          <w:rFonts w:ascii="Arial" w:hAnsi="Arial" w:cs="Arial"/>
          <w:sz w:val="20"/>
          <w:szCs w:val="20"/>
        </w:rPr>
        <w:t>scoring company</w:t>
      </w:r>
      <w:r w:rsidR="00BA16B9">
        <w:rPr>
          <w:rFonts w:ascii="Arial" w:hAnsi="Arial" w:cs="Arial"/>
          <w:sz w:val="20"/>
          <w:szCs w:val="20"/>
        </w:rPr>
        <w:t xml:space="preserve"> </w:t>
      </w:r>
      <w:r w:rsidR="000B66BD">
        <w:rPr>
          <w:rFonts w:ascii="Arial" w:hAnsi="Arial" w:cs="Arial"/>
          <w:sz w:val="20"/>
          <w:szCs w:val="20"/>
        </w:rPr>
        <w:t>for the second year in a row --</w:t>
      </w:r>
      <w:r w:rsidR="00576989">
        <w:rPr>
          <w:rFonts w:ascii="Arial" w:hAnsi="Arial" w:cs="Arial"/>
          <w:sz w:val="20"/>
          <w:szCs w:val="20"/>
        </w:rPr>
        <w:t xml:space="preserve"> almost doubling its 2014 score from 18 to 32 </w:t>
      </w:r>
      <w:r w:rsidR="00E75C44" w:rsidRPr="00702266">
        <w:rPr>
          <w:rFonts w:ascii="Arial" w:hAnsi="Arial" w:cs="Arial"/>
          <w:sz w:val="20"/>
          <w:szCs w:val="20"/>
        </w:rPr>
        <w:t>points</w:t>
      </w:r>
      <w:r w:rsidR="00576989">
        <w:rPr>
          <w:rFonts w:ascii="Arial" w:hAnsi="Arial" w:cs="Arial"/>
          <w:sz w:val="20"/>
          <w:szCs w:val="20"/>
        </w:rPr>
        <w:t>, out of a possible 39 points.  Hess</w:t>
      </w:r>
      <w:r w:rsidR="00D108EB">
        <w:rPr>
          <w:rFonts w:ascii="Arial" w:hAnsi="Arial" w:cs="Arial"/>
          <w:sz w:val="20"/>
          <w:szCs w:val="20"/>
        </w:rPr>
        <w:t xml:space="preserve"> (</w:t>
      </w:r>
      <w:r w:rsidR="00EB4A09">
        <w:rPr>
          <w:rFonts w:ascii="Arial" w:hAnsi="Arial" w:cs="Arial"/>
          <w:sz w:val="20"/>
          <w:szCs w:val="20"/>
        </w:rPr>
        <w:t>2nd</w:t>
      </w:r>
      <w:r w:rsidR="00D108EB">
        <w:rPr>
          <w:rFonts w:ascii="Arial" w:hAnsi="Arial" w:cs="Arial"/>
          <w:sz w:val="20"/>
          <w:szCs w:val="20"/>
        </w:rPr>
        <w:t>)</w:t>
      </w:r>
      <w:r w:rsidR="00576989">
        <w:rPr>
          <w:rFonts w:ascii="Arial" w:hAnsi="Arial" w:cs="Arial"/>
          <w:sz w:val="20"/>
          <w:szCs w:val="20"/>
        </w:rPr>
        <w:t>, Apache</w:t>
      </w:r>
      <w:r w:rsidR="00D108EB">
        <w:rPr>
          <w:rFonts w:ascii="Arial" w:hAnsi="Arial" w:cs="Arial"/>
          <w:sz w:val="20"/>
          <w:szCs w:val="20"/>
        </w:rPr>
        <w:t xml:space="preserve"> (</w:t>
      </w:r>
      <w:r w:rsidR="00EB4A09">
        <w:rPr>
          <w:rFonts w:ascii="Arial" w:hAnsi="Arial" w:cs="Arial"/>
          <w:sz w:val="20"/>
          <w:szCs w:val="20"/>
        </w:rPr>
        <w:t>3rd</w:t>
      </w:r>
      <w:r w:rsidR="00D108EB">
        <w:rPr>
          <w:rFonts w:ascii="Arial" w:hAnsi="Arial" w:cs="Arial"/>
          <w:sz w:val="20"/>
          <w:szCs w:val="20"/>
        </w:rPr>
        <w:t>),</w:t>
      </w:r>
      <w:r w:rsidR="00576989" w:rsidRPr="00576989">
        <w:rPr>
          <w:rFonts w:ascii="Arial" w:hAnsi="Arial" w:cs="Arial"/>
          <w:sz w:val="20"/>
          <w:szCs w:val="20"/>
        </w:rPr>
        <w:t xml:space="preserve"> and Noble </w:t>
      </w:r>
      <w:r w:rsidR="00D108EB">
        <w:rPr>
          <w:rFonts w:ascii="Arial" w:hAnsi="Arial" w:cs="Arial"/>
          <w:sz w:val="20"/>
          <w:szCs w:val="20"/>
        </w:rPr>
        <w:t xml:space="preserve">(tied for </w:t>
      </w:r>
      <w:r w:rsidR="00EB4A09">
        <w:rPr>
          <w:rFonts w:ascii="Arial" w:hAnsi="Arial" w:cs="Arial"/>
          <w:sz w:val="20"/>
          <w:szCs w:val="20"/>
        </w:rPr>
        <w:t>4th</w:t>
      </w:r>
      <w:r w:rsidR="00D108EB">
        <w:rPr>
          <w:rFonts w:ascii="Arial" w:hAnsi="Arial" w:cs="Arial"/>
          <w:sz w:val="20"/>
          <w:szCs w:val="20"/>
        </w:rPr>
        <w:t xml:space="preserve">) </w:t>
      </w:r>
      <w:r w:rsidR="00576989" w:rsidRPr="00576989">
        <w:rPr>
          <w:rFonts w:ascii="Arial" w:hAnsi="Arial" w:cs="Arial"/>
          <w:sz w:val="20"/>
          <w:szCs w:val="20"/>
        </w:rPr>
        <w:t xml:space="preserve">built on their leadership positions from 2014, disclosing information for about half of the scorecard indicators. </w:t>
      </w:r>
      <w:r w:rsidR="00D108EB">
        <w:rPr>
          <w:rFonts w:ascii="Arial" w:hAnsi="Arial" w:cs="Arial"/>
          <w:sz w:val="20"/>
          <w:szCs w:val="20"/>
        </w:rPr>
        <w:t>Also tied for fourth</w:t>
      </w:r>
      <w:r w:rsidR="00576989">
        <w:rPr>
          <w:rFonts w:ascii="Arial" w:hAnsi="Arial" w:cs="Arial"/>
          <w:sz w:val="20"/>
          <w:szCs w:val="20"/>
        </w:rPr>
        <w:t xml:space="preserve">, </w:t>
      </w:r>
      <w:r w:rsidR="00576989" w:rsidRPr="00576989">
        <w:rPr>
          <w:rFonts w:ascii="Arial" w:hAnsi="Arial" w:cs="Arial"/>
          <w:sz w:val="20"/>
          <w:szCs w:val="20"/>
        </w:rPr>
        <w:t>CONSOL nearly quadrupled its 2014 score,</w:t>
      </w:r>
      <w:r w:rsidR="00576989">
        <w:rPr>
          <w:rFonts w:ascii="Arial" w:hAnsi="Arial" w:cs="Arial"/>
          <w:sz w:val="20"/>
          <w:szCs w:val="20"/>
        </w:rPr>
        <w:t xml:space="preserve"> jumping from </w:t>
      </w:r>
      <w:r w:rsidR="004D6D2B">
        <w:rPr>
          <w:rFonts w:ascii="Arial" w:hAnsi="Arial" w:cs="Arial"/>
          <w:sz w:val="20"/>
          <w:szCs w:val="20"/>
        </w:rPr>
        <w:t>five</w:t>
      </w:r>
      <w:r w:rsidR="00576989">
        <w:rPr>
          <w:rFonts w:ascii="Arial" w:hAnsi="Arial" w:cs="Arial"/>
          <w:sz w:val="20"/>
          <w:szCs w:val="20"/>
        </w:rPr>
        <w:t xml:space="preserve"> to 19 points</w:t>
      </w:r>
      <w:r w:rsidR="00576989" w:rsidRPr="00576989">
        <w:rPr>
          <w:rFonts w:ascii="Arial" w:hAnsi="Arial" w:cs="Arial"/>
          <w:sz w:val="20"/>
          <w:szCs w:val="20"/>
        </w:rPr>
        <w:t xml:space="preserve"> by securing third-party certification for compliance with the best practice standards of the Center for Sustainable Shale Development</w:t>
      </w:r>
      <w:r w:rsidR="00D108EB">
        <w:rPr>
          <w:rFonts w:ascii="Arial" w:hAnsi="Arial" w:cs="Arial"/>
          <w:sz w:val="20"/>
          <w:szCs w:val="20"/>
        </w:rPr>
        <w:t>.</w:t>
      </w:r>
    </w:p>
    <w:p w14:paraId="78CD76B3" w14:textId="77777777" w:rsidR="0069650B" w:rsidRDefault="0069650B" w:rsidP="00A45648">
      <w:pPr>
        <w:spacing w:after="0" w:line="240" w:lineRule="auto"/>
        <w:rPr>
          <w:rFonts w:ascii="Arial" w:hAnsi="Arial" w:cs="Arial"/>
          <w:sz w:val="20"/>
          <w:szCs w:val="20"/>
        </w:rPr>
      </w:pPr>
    </w:p>
    <w:p w14:paraId="7D4F998D" w14:textId="4E40C4E5" w:rsidR="0069650B" w:rsidRPr="00DF755D" w:rsidRDefault="0069650B" w:rsidP="00F460C4">
      <w:pPr>
        <w:spacing w:after="0" w:line="240" w:lineRule="auto"/>
        <w:rPr>
          <w:rFonts w:ascii="Arial" w:hAnsi="Arial" w:cs="Arial"/>
          <w:color w:val="000000" w:themeColor="text1"/>
          <w:sz w:val="20"/>
          <w:szCs w:val="20"/>
        </w:rPr>
      </w:pPr>
      <w:r w:rsidRPr="00DF755D">
        <w:rPr>
          <w:rFonts w:ascii="Arial" w:hAnsi="Arial" w:cs="Arial"/>
          <w:color w:val="000000" w:themeColor="text1"/>
          <w:sz w:val="20"/>
          <w:szCs w:val="20"/>
        </w:rPr>
        <w:t xml:space="preserve">In addition to the top five companies, </w:t>
      </w:r>
      <w:r w:rsidR="004065DC" w:rsidRPr="00DF755D">
        <w:rPr>
          <w:rFonts w:ascii="Arial" w:hAnsi="Arial" w:cs="Arial"/>
          <w:color w:val="000000" w:themeColor="text1"/>
          <w:sz w:val="20"/>
          <w:szCs w:val="20"/>
        </w:rPr>
        <w:t xml:space="preserve">three other companies -- </w:t>
      </w:r>
      <w:r w:rsidRPr="00DF755D">
        <w:rPr>
          <w:rFonts w:ascii="Arial" w:hAnsi="Arial" w:cs="Arial"/>
          <w:color w:val="000000" w:themeColor="text1"/>
          <w:sz w:val="20"/>
          <w:szCs w:val="20"/>
        </w:rPr>
        <w:t>Southwestern Energy Co.</w:t>
      </w:r>
      <w:r w:rsidR="00F460C4" w:rsidRPr="00DF755D">
        <w:rPr>
          <w:rFonts w:ascii="Arial" w:hAnsi="Arial" w:cs="Arial"/>
          <w:color w:val="000000" w:themeColor="text1"/>
          <w:sz w:val="20"/>
          <w:szCs w:val="20"/>
        </w:rPr>
        <w:t xml:space="preserve"> (6</w:t>
      </w:r>
      <w:r w:rsidR="00F460C4" w:rsidRPr="00DF755D">
        <w:rPr>
          <w:rFonts w:ascii="Arial" w:hAnsi="Arial" w:cs="Arial"/>
          <w:color w:val="000000" w:themeColor="text1"/>
          <w:sz w:val="20"/>
          <w:szCs w:val="20"/>
          <w:vertAlign w:val="superscript"/>
        </w:rPr>
        <w:t>th</w:t>
      </w:r>
      <w:r w:rsidR="00F460C4" w:rsidRPr="00DF755D">
        <w:rPr>
          <w:rFonts w:ascii="Arial" w:hAnsi="Arial" w:cs="Arial"/>
          <w:color w:val="000000" w:themeColor="text1"/>
          <w:sz w:val="20"/>
          <w:szCs w:val="20"/>
        </w:rPr>
        <w:t>)</w:t>
      </w:r>
      <w:r w:rsidR="00B064F3" w:rsidRPr="00DF755D">
        <w:rPr>
          <w:rFonts w:ascii="Arial" w:hAnsi="Arial" w:cs="Arial"/>
          <w:color w:val="000000" w:themeColor="text1"/>
          <w:sz w:val="20"/>
          <w:szCs w:val="20"/>
        </w:rPr>
        <w:t>,</w:t>
      </w:r>
      <w:r w:rsidR="00F460C4" w:rsidRPr="00DF755D">
        <w:rPr>
          <w:rFonts w:ascii="Arial" w:hAnsi="Arial" w:cs="Arial"/>
          <w:color w:val="000000" w:themeColor="text1"/>
          <w:sz w:val="20"/>
          <w:szCs w:val="20"/>
        </w:rPr>
        <w:t xml:space="preserve"> </w:t>
      </w:r>
      <w:r w:rsidRPr="00DF755D">
        <w:rPr>
          <w:rFonts w:ascii="Arial" w:hAnsi="Arial" w:cs="Arial"/>
          <w:color w:val="000000" w:themeColor="text1"/>
          <w:sz w:val="20"/>
          <w:szCs w:val="20"/>
        </w:rPr>
        <w:t>Anadarko Petroleum Corp.</w:t>
      </w:r>
      <w:r w:rsidR="00F460C4" w:rsidRPr="00DF755D">
        <w:rPr>
          <w:rFonts w:ascii="Arial" w:hAnsi="Arial" w:cs="Arial"/>
          <w:color w:val="000000" w:themeColor="text1"/>
          <w:sz w:val="20"/>
          <w:szCs w:val="20"/>
        </w:rPr>
        <w:t xml:space="preserve"> (tied for 7</w:t>
      </w:r>
      <w:r w:rsidR="00F460C4" w:rsidRPr="00DF755D">
        <w:rPr>
          <w:rFonts w:ascii="Arial" w:hAnsi="Arial" w:cs="Arial"/>
          <w:color w:val="000000" w:themeColor="text1"/>
          <w:sz w:val="20"/>
          <w:szCs w:val="20"/>
          <w:vertAlign w:val="superscript"/>
        </w:rPr>
        <w:t>th</w:t>
      </w:r>
      <w:r w:rsidR="00F460C4" w:rsidRPr="00DF755D">
        <w:rPr>
          <w:rFonts w:ascii="Arial" w:hAnsi="Arial" w:cs="Arial"/>
          <w:color w:val="000000" w:themeColor="text1"/>
          <w:sz w:val="20"/>
          <w:szCs w:val="20"/>
        </w:rPr>
        <w:t>)</w:t>
      </w:r>
      <w:r w:rsidR="00B064F3" w:rsidRPr="00DF755D">
        <w:rPr>
          <w:rFonts w:ascii="Arial" w:hAnsi="Arial" w:cs="Arial"/>
          <w:color w:val="000000" w:themeColor="text1"/>
          <w:sz w:val="20"/>
          <w:szCs w:val="20"/>
        </w:rPr>
        <w:t>,</w:t>
      </w:r>
      <w:r w:rsidRPr="00DF755D">
        <w:rPr>
          <w:rFonts w:ascii="Arial" w:hAnsi="Arial" w:cs="Arial"/>
          <w:color w:val="000000" w:themeColor="text1"/>
          <w:sz w:val="20"/>
          <w:szCs w:val="20"/>
        </w:rPr>
        <w:t xml:space="preserve"> and QEP Resources, Inc. </w:t>
      </w:r>
      <w:r w:rsidR="00F460C4" w:rsidRPr="00DF755D">
        <w:rPr>
          <w:rFonts w:ascii="Arial" w:hAnsi="Arial" w:cs="Arial"/>
          <w:color w:val="000000" w:themeColor="text1"/>
          <w:sz w:val="20"/>
          <w:szCs w:val="20"/>
        </w:rPr>
        <w:t>(tied for 7</w:t>
      </w:r>
      <w:r w:rsidR="00F460C4" w:rsidRPr="00DF755D">
        <w:rPr>
          <w:rFonts w:ascii="Arial" w:hAnsi="Arial" w:cs="Arial"/>
          <w:color w:val="000000" w:themeColor="text1"/>
          <w:sz w:val="20"/>
          <w:szCs w:val="20"/>
          <w:vertAlign w:val="superscript"/>
        </w:rPr>
        <w:t>th</w:t>
      </w:r>
      <w:r w:rsidR="00F460C4" w:rsidRPr="00DF755D">
        <w:rPr>
          <w:rFonts w:ascii="Arial" w:hAnsi="Arial" w:cs="Arial"/>
          <w:color w:val="000000" w:themeColor="text1"/>
          <w:sz w:val="20"/>
          <w:szCs w:val="20"/>
        </w:rPr>
        <w:t>)</w:t>
      </w:r>
      <w:r w:rsidR="00B064F3" w:rsidRPr="00DF755D">
        <w:rPr>
          <w:rFonts w:ascii="Arial" w:hAnsi="Arial" w:cs="Arial"/>
          <w:color w:val="000000" w:themeColor="text1"/>
          <w:sz w:val="20"/>
          <w:szCs w:val="20"/>
        </w:rPr>
        <w:t xml:space="preserve"> </w:t>
      </w:r>
      <w:r w:rsidR="004065DC" w:rsidRPr="00DF755D">
        <w:rPr>
          <w:rFonts w:ascii="Arial" w:hAnsi="Arial" w:cs="Arial"/>
          <w:color w:val="000000" w:themeColor="text1"/>
          <w:sz w:val="20"/>
          <w:szCs w:val="20"/>
        </w:rPr>
        <w:t>--</w:t>
      </w:r>
      <w:r w:rsidRPr="00DF755D">
        <w:rPr>
          <w:rFonts w:ascii="Arial" w:hAnsi="Arial" w:cs="Arial"/>
          <w:color w:val="000000" w:themeColor="text1"/>
          <w:sz w:val="20"/>
          <w:szCs w:val="20"/>
        </w:rPr>
        <w:t xml:space="preserve"> made substantial gains in 2015</w:t>
      </w:r>
      <w:r w:rsidR="00F460C4" w:rsidRPr="00DF755D">
        <w:rPr>
          <w:rFonts w:ascii="Arial" w:hAnsi="Arial" w:cs="Arial"/>
          <w:color w:val="000000" w:themeColor="text1"/>
          <w:sz w:val="20"/>
          <w:szCs w:val="20"/>
        </w:rPr>
        <w:t>.</w:t>
      </w:r>
    </w:p>
    <w:p w14:paraId="25CE5870" w14:textId="77777777" w:rsidR="00F460C4" w:rsidRPr="00DF755D" w:rsidRDefault="00F460C4" w:rsidP="00F460C4">
      <w:pPr>
        <w:spacing w:after="0" w:line="240" w:lineRule="auto"/>
        <w:rPr>
          <w:rFonts w:ascii="Arial" w:hAnsi="Arial" w:cs="Arial"/>
          <w:color w:val="000000" w:themeColor="text1"/>
          <w:sz w:val="20"/>
          <w:szCs w:val="20"/>
        </w:rPr>
      </w:pPr>
    </w:p>
    <w:p w14:paraId="1AB6B0F0" w14:textId="1724286E" w:rsidR="00F460C4" w:rsidRDefault="0002506D" w:rsidP="00F460C4">
      <w:pPr>
        <w:spacing w:after="0" w:line="240" w:lineRule="auto"/>
        <w:rPr>
          <w:rFonts w:ascii="Arial" w:hAnsi="Arial" w:cs="Arial"/>
          <w:color w:val="000000" w:themeColor="text1"/>
          <w:sz w:val="20"/>
          <w:szCs w:val="20"/>
        </w:rPr>
      </w:pPr>
      <w:r w:rsidRPr="0002506D">
        <w:rPr>
          <w:rFonts w:ascii="Arial" w:hAnsi="Arial" w:cs="Arial"/>
          <w:color w:val="000000" w:themeColor="text1"/>
          <w:sz w:val="20"/>
          <w:szCs w:val="20"/>
        </w:rPr>
        <w:t>Exxon Mobil, the largest of the companies scored, earned 4 points, placing it in th</w:t>
      </w:r>
      <w:r>
        <w:rPr>
          <w:rFonts w:ascii="Arial" w:hAnsi="Arial" w:cs="Arial"/>
          <w:color w:val="000000" w:themeColor="text1"/>
          <w:sz w:val="20"/>
          <w:szCs w:val="20"/>
        </w:rPr>
        <w:t>e bottom third of the industry.</w:t>
      </w:r>
      <w:r w:rsidRPr="0002506D">
        <w:rPr>
          <w:rFonts w:ascii="Arial" w:hAnsi="Arial" w:cs="Arial"/>
          <w:color w:val="000000" w:themeColor="text1"/>
          <w:sz w:val="20"/>
          <w:szCs w:val="20"/>
        </w:rPr>
        <w:t xml:space="preserve"> </w:t>
      </w:r>
    </w:p>
    <w:p w14:paraId="365E5974" w14:textId="77777777" w:rsidR="0002506D" w:rsidRPr="00F460C4" w:rsidRDefault="0002506D" w:rsidP="00F460C4">
      <w:pPr>
        <w:spacing w:after="0" w:line="240" w:lineRule="auto"/>
        <w:rPr>
          <w:rFonts w:ascii="Arial" w:hAnsi="Arial" w:cs="Arial"/>
          <w:color w:val="000000" w:themeColor="text1"/>
          <w:sz w:val="20"/>
          <w:szCs w:val="20"/>
        </w:rPr>
      </w:pPr>
    </w:p>
    <w:p w14:paraId="525C6DB1" w14:textId="782392F5" w:rsidR="00E75C44" w:rsidRPr="00F460C4" w:rsidRDefault="00A45648" w:rsidP="00F460C4">
      <w:pPr>
        <w:spacing w:after="0" w:line="240" w:lineRule="auto"/>
        <w:rPr>
          <w:rFonts w:ascii="Arial" w:hAnsi="Arial" w:cs="Arial"/>
          <w:color w:val="000000" w:themeColor="text1"/>
          <w:sz w:val="20"/>
          <w:szCs w:val="20"/>
        </w:rPr>
      </w:pPr>
      <w:r w:rsidRPr="00F460C4">
        <w:rPr>
          <w:rFonts w:ascii="Arial" w:hAnsi="Arial" w:cs="Arial"/>
          <w:color w:val="000000" w:themeColor="text1"/>
          <w:sz w:val="20"/>
          <w:szCs w:val="20"/>
        </w:rPr>
        <w:t xml:space="preserve">The new report </w:t>
      </w:r>
      <w:r w:rsidR="004D6D2B" w:rsidRPr="00F460C4">
        <w:rPr>
          <w:rFonts w:ascii="Arial" w:hAnsi="Arial" w:cs="Arial"/>
          <w:color w:val="000000" w:themeColor="text1"/>
          <w:sz w:val="20"/>
          <w:szCs w:val="20"/>
        </w:rPr>
        <w:t xml:space="preserve">also </w:t>
      </w:r>
      <w:r w:rsidRPr="00F460C4">
        <w:rPr>
          <w:rFonts w:ascii="Arial" w:hAnsi="Arial" w:cs="Arial"/>
          <w:color w:val="000000" w:themeColor="text1"/>
          <w:sz w:val="20"/>
          <w:szCs w:val="20"/>
        </w:rPr>
        <w:t xml:space="preserve">scores companies on </w:t>
      </w:r>
      <w:r w:rsidR="008C12B9" w:rsidRPr="00F460C4">
        <w:rPr>
          <w:rFonts w:ascii="Arial" w:hAnsi="Arial" w:cs="Arial"/>
          <w:color w:val="000000" w:themeColor="text1"/>
          <w:sz w:val="20"/>
          <w:szCs w:val="20"/>
        </w:rPr>
        <w:t xml:space="preserve">their </w:t>
      </w:r>
      <w:r w:rsidRPr="00F460C4">
        <w:rPr>
          <w:rFonts w:ascii="Arial" w:hAnsi="Arial" w:cs="Arial"/>
          <w:color w:val="000000" w:themeColor="text1"/>
          <w:sz w:val="20"/>
          <w:szCs w:val="20"/>
        </w:rPr>
        <w:t xml:space="preserve">disclosure of </w:t>
      </w:r>
      <w:r w:rsidR="00E75C44" w:rsidRPr="00F460C4">
        <w:rPr>
          <w:rFonts w:ascii="Arial" w:hAnsi="Arial" w:cs="Arial"/>
          <w:color w:val="000000" w:themeColor="text1"/>
          <w:sz w:val="20"/>
          <w:szCs w:val="20"/>
        </w:rPr>
        <w:t>methane leakage</w:t>
      </w:r>
      <w:r w:rsidR="00EF7D65" w:rsidRPr="00F460C4">
        <w:rPr>
          <w:rFonts w:ascii="Arial" w:hAnsi="Arial" w:cs="Arial"/>
          <w:color w:val="000000" w:themeColor="text1"/>
          <w:sz w:val="20"/>
          <w:szCs w:val="20"/>
        </w:rPr>
        <w:t xml:space="preserve">, </w:t>
      </w:r>
      <w:r w:rsidRPr="00F460C4">
        <w:rPr>
          <w:rFonts w:ascii="Arial" w:hAnsi="Arial" w:cs="Arial"/>
          <w:color w:val="000000" w:themeColor="text1"/>
          <w:sz w:val="20"/>
          <w:szCs w:val="20"/>
        </w:rPr>
        <w:t xml:space="preserve">a key </w:t>
      </w:r>
      <w:r w:rsidR="004D6D2B" w:rsidRPr="00F460C4">
        <w:rPr>
          <w:rFonts w:ascii="Arial" w:hAnsi="Arial" w:cs="Arial"/>
          <w:color w:val="000000" w:themeColor="text1"/>
          <w:sz w:val="20"/>
          <w:szCs w:val="20"/>
        </w:rPr>
        <w:t>concern</w:t>
      </w:r>
      <w:r w:rsidRPr="00F460C4">
        <w:rPr>
          <w:rFonts w:ascii="Arial" w:hAnsi="Arial" w:cs="Arial"/>
          <w:color w:val="000000" w:themeColor="text1"/>
          <w:sz w:val="20"/>
          <w:szCs w:val="20"/>
        </w:rPr>
        <w:t xml:space="preserve"> </w:t>
      </w:r>
      <w:r w:rsidR="00D033C8" w:rsidRPr="00F460C4">
        <w:rPr>
          <w:rFonts w:ascii="Arial" w:hAnsi="Arial" w:cs="Arial"/>
          <w:color w:val="000000" w:themeColor="text1"/>
          <w:sz w:val="20"/>
          <w:szCs w:val="20"/>
        </w:rPr>
        <w:t xml:space="preserve">because </w:t>
      </w:r>
      <w:r w:rsidRPr="00F460C4">
        <w:rPr>
          <w:rFonts w:ascii="Arial" w:hAnsi="Arial" w:cs="Arial"/>
          <w:color w:val="000000" w:themeColor="text1"/>
          <w:sz w:val="20"/>
          <w:szCs w:val="20"/>
        </w:rPr>
        <w:t xml:space="preserve">methane </w:t>
      </w:r>
      <w:r w:rsidR="00D108EB" w:rsidRPr="00F460C4">
        <w:rPr>
          <w:rFonts w:ascii="Arial" w:hAnsi="Arial" w:cs="Arial"/>
          <w:color w:val="000000" w:themeColor="text1"/>
          <w:sz w:val="20"/>
          <w:szCs w:val="20"/>
        </w:rPr>
        <w:t xml:space="preserve">is far more potent </w:t>
      </w:r>
      <w:r w:rsidR="00EB4A09" w:rsidRPr="00F460C4">
        <w:rPr>
          <w:rFonts w:ascii="Arial" w:hAnsi="Arial" w:cs="Arial"/>
          <w:color w:val="000000" w:themeColor="text1"/>
          <w:sz w:val="20"/>
          <w:szCs w:val="20"/>
        </w:rPr>
        <w:t xml:space="preserve">a </w:t>
      </w:r>
      <w:r w:rsidRPr="00F460C4">
        <w:rPr>
          <w:rFonts w:ascii="Arial" w:hAnsi="Arial" w:cs="Arial"/>
          <w:color w:val="000000" w:themeColor="text1"/>
          <w:sz w:val="20"/>
          <w:szCs w:val="20"/>
        </w:rPr>
        <w:t>greenhouse gas than carbon dioxide (CO2)</w:t>
      </w:r>
      <w:r w:rsidR="00E75C44" w:rsidRPr="00F460C4">
        <w:rPr>
          <w:rFonts w:ascii="Arial" w:hAnsi="Arial" w:cs="Arial"/>
          <w:color w:val="000000" w:themeColor="text1"/>
          <w:sz w:val="20"/>
          <w:szCs w:val="20"/>
        </w:rPr>
        <w:t xml:space="preserve">. </w:t>
      </w:r>
      <w:r w:rsidR="000D5057" w:rsidRPr="00F460C4">
        <w:rPr>
          <w:rFonts w:ascii="Arial" w:hAnsi="Arial" w:cs="Arial"/>
          <w:color w:val="000000" w:themeColor="text1"/>
          <w:sz w:val="20"/>
          <w:szCs w:val="20"/>
        </w:rPr>
        <w:t xml:space="preserve"> For the </w:t>
      </w:r>
      <w:r w:rsidR="00A21B62" w:rsidRPr="00F460C4">
        <w:rPr>
          <w:rFonts w:ascii="Arial" w:hAnsi="Arial" w:cs="Arial"/>
          <w:color w:val="000000" w:themeColor="text1"/>
          <w:sz w:val="20"/>
          <w:szCs w:val="20"/>
        </w:rPr>
        <w:t>second year in a row,</w:t>
      </w:r>
      <w:r w:rsidR="00E75C44" w:rsidRPr="00F460C4">
        <w:rPr>
          <w:rFonts w:ascii="Arial" w:hAnsi="Arial" w:cs="Arial"/>
          <w:color w:val="000000" w:themeColor="text1"/>
          <w:sz w:val="20"/>
          <w:szCs w:val="20"/>
        </w:rPr>
        <w:t xml:space="preserve"> most companies fail</w:t>
      </w:r>
      <w:r w:rsidR="00A21B62" w:rsidRPr="00F460C4">
        <w:rPr>
          <w:rFonts w:ascii="Arial" w:hAnsi="Arial" w:cs="Arial"/>
          <w:color w:val="000000" w:themeColor="text1"/>
          <w:sz w:val="20"/>
          <w:szCs w:val="20"/>
        </w:rPr>
        <w:t>ed</w:t>
      </w:r>
      <w:r w:rsidR="00E75C44" w:rsidRPr="00F460C4">
        <w:rPr>
          <w:rFonts w:ascii="Arial" w:hAnsi="Arial" w:cs="Arial"/>
          <w:color w:val="000000" w:themeColor="text1"/>
          <w:sz w:val="20"/>
          <w:szCs w:val="20"/>
        </w:rPr>
        <w:t xml:space="preserve"> to disclose their methane leakage</w:t>
      </w:r>
      <w:r w:rsidR="00D033C8" w:rsidRPr="00F460C4">
        <w:rPr>
          <w:rFonts w:ascii="Arial" w:hAnsi="Arial" w:cs="Arial"/>
          <w:color w:val="000000" w:themeColor="text1"/>
          <w:sz w:val="20"/>
          <w:szCs w:val="20"/>
        </w:rPr>
        <w:t xml:space="preserve"> </w:t>
      </w:r>
      <w:r w:rsidR="00B064F3" w:rsidRPr="00F460C4">
        <w:rPr>
          <w:rFonts w:ascii="Arial" w:hAnsi="Arial" w:cs="Arial"/>
          <w:color w:val="000000" w:themeColor="text1"/>
          <w:sz w:val="20"/>
          <w:szCs w:val="20"/>
        </w:rPr>
        <w:t xml:space="preserve">rate </w:t>
      </w:r>
      <w:r w:rsidR="00D033C8" w:rsidRPr="00F460C4">
        <w:rPr>
          <w:rFonts w:ascii="Arial" w:hAnsi="Arial" w:cs="Arial"/>
          <w:color w:val="000000" w:themeColor="text1"/>
          <w:sz w:val="20"/>
          <w:szCs w:val="20"/>
        </w:rPr>
        <w:t>or how often they monitor for leakage</w:t>
      </w:r>
      <w:r w:rsidR="00E75C44" w:rsidRPr="00F460C4">
        <w:rPr>
          <w:rFonts w:ascii="Arial" w:hAnsi="Arial" w:cs="Arial"/>
          <w:color w:val="000000" w:themeColor="text1"/>
          <w:sz w:val="20"/>
          <w:szCs w:val="20"/>
        </w:rPr>
        <w:t>.</w:t>
      </w:r>
      <w:r w:rsidR="00700B73" w:rsidRPr="00F460C4">
        <w:rPr>
          <w:rFonts w:ascii="Arial" w:hAnsi="Arial" w:cs="Arial"/>
          <w:color w:val="000000" w:themeColor="text1"/>
          <w:sz w:val="20"/>
          <w:szCs w:val="20"/>
        </w:rPr>
        <w:t xml:space="preserve"> </w:t>
      </w:r>
      <w:r w:rsidR="00A21B62" w:rsidRPr="00F460C4">
        <w:rPr>
          <w:rFonts w:ascii="Arial" w:hAnsi="Arial" w:cs="Arial"/>
          <w:color w:val="000000" w:themeColor="text1"/>
          <w:sz w:val="20"/>
          <w:szCs w:val="20"/>
        </w:rPr>
        <w:t xml:space="preserve">In 2015, just five of 30 companies </w:t>
      </w:r>
      <w:r w:rsidR="004D6D2B" w:rsidRPr="00F460C4">
        <w:rPr>
          <w:rFonts w:ascii="Arial" w:hAnsi="Arial" w:cs="Arial"/>
          <w:color w:val="000000" w:themeColor="text1"/>
          <w:sz w:val="20"/>
          <w:szCs w:val="20"/>
        </w:rPr>
        <w:t>disclosed</w:t>
      </w:r>
      <w:r w:rsidR="00A21B62" w:rsidRPr="00F460C4">
        <w:rPr>
          <w:rFonts w:ascii="Arial" w:hAnsi="Arial" w:cs="Arial"/>
          <w:color w:val="000000" w:themeColor="text1"/>
          <w:sz w:val="20"/>
          <w:szCs w:val="20"/>
        </w:rPr>
        <w:t xml:space="preserve"> their methane emission rates from drilling</w:t>
      </w:r>
      <w:r w:rsidRPr="00F460C4">
        <w:rPr>
          <w:rFonts w:ascii="Arial" w:hAnsi="Arial" w:cs="Arial"/>
          <w:color w:val="000000" w:themeColor="text1"/>
          <w:sz w:val="20"/>
          <w:szCs w:val="20"/>
        </w:rPr>
        <w:t xml:space="preserve"> and other</w:t>
      </w:r>
      <w:r w:rsidR="00FA6EE0" w:rsidRPr="00F460C4">
        <w:rPr>
          <w:rFonts w:ascii="Arial" w:hAnsi="Arial" w:cs="Arial"/>
          <w:color w:val="000000" w:themeColor="text1"/>
          <w:sz w:val="20"/>
          <w:szCs w:val="20"/>
        </w:rPr>
        <w:t xml:space="preserve"> operations.  Not a single</w:t>
      </w:r>
      <w:r w:rsidR="00A21B62" w:rsidRPr="00F460C4">
        <w:rPr>
          <w:rFonts w:ascii="Arial" w:hAnsi="Arial" w:cs="Arial"/>
          <w:color w:val="000000" w:themeColor="text1"/>
          <w:sz w:val="20"/>
          <w:szCs w:val="20"/>
        </w:rPr>
        <w:t xml:space="preserve"> </w:t>
      </w:r>
      <w:r w:rsidR="00FA6EE0" w:rsidRPr="00F460C4">
        <w:rPr>
          <w:rFonts w:ascii="Arial" w:hAnsi="Arial" w:cs="Arial"/>
          <w:color w:val="000000" w:themeColor="text1"/>
          <w:sz w:val="20"/>
          <w:szCs w:val="20"/>
        </w:rPr>
        <w:t>company</w:t>
      </w:r>
      <w:r w:rsidR="00A21B62" w:rsidRPr="00F460C4">
        <w:rPr>
          <w:rFonts w:ascii="Arial" w:hAnsi="Arial" w:cs="Arial"/>
          <w:color w:val="000000" w:themeColor="text1"/>
          <w:sz w:val="20"/>
          <w:szCs w:val="20"/>
        </w:rPr>
        <w:t xml:space="preserve"> reported </w:t>
      </w:r>
      <w:r w:rsidR="00FA6EE0" w:rsidRPr="00F460C4">
        <w:rPr>
          <w:rFonts w:ascii="Arial" w:hAnsi="Arial" w:cs="Arial"/>
          <w:color w:val="000000" w:themeColor="text1"/>
          <w:sz w:val="20"/>
          <w:szCs w:val="20"/>
        </w:rPr>
        <w:t>establishing</w:t>
      </w:r>
      <w:r w:rsidR="00A21B62" w:rsidRPr="00F460C4">
        <w:rPr>
          <w:rFonts w:ascii="Arial" w:hAnsi="Arial" w:cs="Arial"/>
          <w:color w:val="000000" w:themeColor="text1"/>
          <w:sz w:val="20"/>
          <w:szCs w:val="20"/>
        </w:rPr>
        <w:t xml:space="preserve"> public methane emission reduction goals.  </w:t>
      </w:r>
    </w:p>
    <w:p w14:paraId="3EE91384" w14:textId="77777777" w:rsidR="00A45648" w:rsidRPr="00F460C4" w:rsidRDefault="00A45648" w:rsidP="00F460C4">
      <w:pPr>
        <w:spacing w:after="0" w:line="240" w:lineRule="auto"/>
        <w:rPr>
          <w:rFonts w:ascii="Arial" w:hAnsi="Arial" w:cs="Arial"/>
          <w:color w:val="000000" w:themeColor="text1"/>
          <w:sz w:val="20"/>
          <w:szCs w:val="20"/>
        </w:rPr>
      </w:pPr>
    </w:p>
    <w:p w14:paraId="0E9E7E3B" w14:textId="77777777" w:rsidR="00E75C44" w:rsidRDefault="00FA6EE0" w:rsidP="00A45648">
      <w:pPr>
        <w:spacing w:after="0" w:line="240" w:lineRule="auto"/>
        <w:rPr>
          <w:rFonts w:ascii="Arial" w:hAnsi="Arial" w:cs="Arial"/>
          <w:b/>
          <w:sz w:val="20"/>
          <w:szCs w:val="20"/>
        </w:rPr>
      </w:pPr>
      <w:r>
        <w:rPr>
          <w:rFonts w:ascii="Arial" w:hAnsi="Arial" w:cs="Arial"/>
          <w:b/>
          <w:sz w:val="20"/>
          <w:szCs w:val="20"/>
        </w:rPr>
        <w:t>“The results of the 2015</w:t>
      </w:r>
      <w:r w:rsidR="00E75C44">
        <w:rPr>
          <w:rFonts w:ascii="Arial" w:hAnsi="Arial" w:cs="Arial"/>
          <w:b/>
          <w:sz w:val="20"/>
          <w:szCs w:val="20"/>
        </w:rPr>
        <w:t xml:space="preserve"> </w:t>
      </w:r>
      <w:r w:rsidR="00EB4A09">
        <w:rPr>
          <w:rFonts w:ascii="Arial" w:hAnsi="Arial" w:cs="Arial"/>
          <w:b/>
          <w:sz w:val="20"/>
          <w:szCs w:val="20"/>
        </w:rPr>
        <w:t>scorecard</w:t>
      </w:r>
      <w:r w:rsidR="00EB4A09" w:rsidRPr="00007483">
        <w:rPr>
          <w:rFonts w:ascii="Arial" w:hAnsi="Arial" w:cs="Arial"/>
          <w:b/>
          <w:sz w:val="20"/>
          <w:szCs w:val="20"/>
        </w:rPr>
        <w:t xml:space="preserve"> </w:t>
      </w:r>
      <w:r w:rsidR="00E75C44" w:rsidRPr="00007483">
        <w:rPr>
          <w:rFonts w:ascii="Arial" w:hAnsi="Arial" w:cs="Arial"/>
          <w:b/>
          <w:sz w:val="20"/>
          <w:szCs w:val="20"/>
        </w:rPr>
        <w:t>show that</w:t>
      </w:r>
      <w:r w:rsidR="00E75C44">
        <w:rPr>
          <w:rFonts w:ascii="Arial" w:hAnsi="Arial" w:cs="Arial"/>
          <w:b/>
          <w:sz w:val="20"/>
          <w:szCs w:val="20"/>
        </w:rPr>
        <w:t xml:space="preserve"> </w:t>
      </w:r>
      <w:r w:rsidRPr="00FA6EE0">
        <w:rPr>
          <w:rFonts w:ascii="Arial" w:hAnsi="Arial" w:cs="Arial"/>
          <w:b/>
          <w:sz w:val="20"/>
          <w:szCs w:val="20"/>
        </w:rPr>
        <w:t xml:space="preserve">corporate disclosure efforts have increased among a core group of industry </w:t>
      </w:r>
      <w:r>
        <w:rPr>
          <w:rFonts w:ascii="Arial" w:hAnsi="Arial" w:cs="Arial"/>
          <w:b/>
          <w:sz w:val="20"/>
          <w:szCs w:val="20"/>
        </w:rPr>
        <w:t>leaders</w:t>
      </w:r>
      <w:r w:rsidR="004B23C9">
        <w:rPr>
          <w:rFonts w:ascii="Arial" w:hAnsi="Arial" w:cs="Arial"/>
          <w:b/>
          <w:sz w:val="20"/>
          <w:szCs w:val="20"/>
        </w:rPr>
        <w:t xml:space="preserve">, </w:t>
      </w:r>
      <w:r w:rsidR="008228C4">
        <w:rPr>
          <w:rFonts w:ascii="Arial" w:hAnsi="Arial" w:cs="Arial"/>
          <w:b/>
          <w:sz w:val="20"/>
          <w:szCs w:val="20"/>
        </w:rPr>
        <w:t xml:space="preserve">despite </w:t>
      </w:r>
      <w:r w:rsidR="004B23C9" w:rsidRPr="004B23C9">
        <w:rPr>
          <w:rFonts w:ascii="Arial" w:hAnsi="Arial" w:cs="Arial"/>
          <w:b/>
          <w:sz w:val="20"/>
          <w:szCs w:val="20"/>
        </w:rPr>
        <w:t>enormous financial write-offs</w:t>
      </w:r>
      <w:r w:rsidR="0069650B">
        <w:rPr>
          <w:rFonts w:ascii="Arial" w:hAnsi="Arial" w:cs="Arial"/>
          <w:b/>
          <w:sz w:val="20"/>
          <w:szCs w:val="20"/>
        </w:rPr>
        <w:t xml:space="preserve"> by the industry</w:t>
      </w:r>
      <w:r w:rsidR="002428CA">
        <w:rPr>
          <w:rFonts w:ascii="Arial" w:hAnsi="Arial" w:cs="Arial"/>
          <w:b/>
          <w:sz w:val="20"/>
          <w:szCs w:val="20"/>
        </w:rPr>
        <w:t>,</w:t>
      </w:r>
      <w:r w:rsidR="002428CA" w:rsidRPr="007A3D84">
        <w:rPr>
          <w:rFonts w:ascii="Arial" w:hAnsi="Arial" w:cs="Arial"/>
          <w:b/>
          <w:sz w:val="20"/>
          <w:szCs w:val="20"/>
        </w:rPr>
        <w:t>”</w:t>
      </w:r>
      <w:r w:rsidR="00E75C44" w:rsidRPr="00483448">
        <w:rPr>
          <w:rFonts w:ascii="Arial" w:hAnsi="Arial" w:cs="Arial"/>
          <w:sz w:val="20"/>
          <w:szCs w:val="20"/>
        </w:rPr>
        <w:t xml:space="preserve"> said Richard Liroff, executive director of IEHN. </w:t>
      </w:r>
      <w:r w:rsidR="00E75C44" w:rsidRPr="00007483">
        <w:rPr>
          <w:rFonts w:ascii="Arial" w:hAnsi="Arial" w:cs="Arial"/>
          <w:b/>
          <w:sz w:val="20"/>
          <w:szCs w:val="20"/>
        </w:rPr>
        <w:t>“</w:t>
      </w:r>
      <w:r w:rsidR="004B23C9">
        <w:rPr>
          <w:rFonts w:ascii="Arial" w:hAnsi="Arial" w:cs="Arial"/>
          <w:b/>
          <w:sz w:val="20"/>
          <w:szCs w:val="20"/>
        </w:rPr>
        <w:t>A handful of companies</w:t>
      </w:r>
      <w:r w:rsidR="00E75C44" w:rsidRPr="00007483">
        <w:rPr>
          <w:rFonts w:ascii="Arial" w:hAnsi="Arial" w:cs="Arial"/>
          <w:b/>
          <w:sz w:val="20"/>
          <w:szCs w:val="20"/>
        </w:rPr>
        <w:t xml:space="preserve"> have clear</w:t>
      </w:r>
      <w:r w:rsidR="001D1793">
        <w:rPr>
          <w:rFonts w:ascii="Arial" w:hAnsi="Arial" w:cs="Arial"/>
          <w:b/>
          <w:sz w:val="20"/>
          <w:szCs w:val="20"/>
        </w:rPr>
        <w:t>ly</w:t>
      </w:r>
      <w:r w:rsidR="00E75C44" w:rsidRPr="00007483">
        <w:rPr>
          <w:rFonts w:ascii="Arial" w:hAnsi="Arial" w:cs="Arial"/>
          <w:b/>
          <w:sz w:val="20"/>
          <w:szCs w:val="20"/>
        </w:rPr>
        <w:t xml:space="preserve"> </w:t>
      </w:r>
      <w:r w:rsidR="004B23C9">
        <w:rPr>
          <w:rFonts w:ascii="Arial" w:hAnsi="Arial" w:cs="Arial"/>
          <w:b/>
          <w:sz w:val="20"/>
          <w:szCs w:val="20"/>
        </w:rPr>
        <w:t xml:space="preserve">responded and </w:t>
      </w:r>
      <w:r w:rsidR="00E75C44" w:rsidRPr="00007483">
        <w:rPr>
          <w:rFonts w:ascii="Arial" w:hAnsi="Arial" w:cs="Arial"/>
          <w:b/>
          <w:sz w:val="20"/>
          <w:szCs w:val="20"/>
        </w:rPr>
        <w:t>risen to our challenge</w:t>
      </w:r>
      <w:r>
        <w:rPr>
          <w:rFonts w:ascii="Arial" w:hAnsi="Arial" w:cs="Arial"/>
          <w:b/>
          <w:sz w:val="20"/>
          <w:szCs w:val="20"/>
        </w:rPr>
        <w:t xml:space="preserve">. </w:t>
      </w:r>
      <w:r w:rsidR="00E75C44" w:rsidRPr="00007483">
        <w:rPr>
          <w:rFonts w:ascii="Arial" w:hAnsi="Arial" w:cs="Arial"/>
          <w:b/>
          <w:sz w:val="20"/>
          <w:szCs w:val="20"/>
        </w:rPr>
        <w:t xml:space="preserve"> </w:t>
      </w:r>
      <w:r w:rsidR="004B23C9">
        <w:rPr>
          <w:rFonts w:ascii="Arial" w:hAnsi="Arial" w:cs="Arial"/>
          <w:b/>
          <w:sz w:val="20"/>
          <w:szCs w:val="20"/>
        </w:rPr>
        <w:t xml:space="preserve">Unfortunately, </w:t>
      </w:r>
      <w:r w:rsidR="008C12B9">
        <w:rPr>
          <w:rFonts w:ascii="Arial" w:hAnsi="Arial" w:cs="Arial"/>
          <w:b/>
          <w:sz w:val="20"/>
          <w:szCs w:val="20"/>
        </w:rPr>
        <w:t xml:space="preserve">reporting on </w:t>
      </w:r>
      <w:r w:rsidR="004B23C9">
        <w:rPr>
          <w:rFonts w:ascii="Arial" w:hAnsi="Arial" w:cs="Arial"/>
          <w:b/>
          <w:sz w:val="20"/>
          <w:szCs w:val="20"/>
        </w:rPr>
        <w:t>many of the</w:t>
      </w:r>
      <w:r w:rsidR="00E75C44" w:rsidRPr="00007483">
        <w:rPr>
          <w:rFonts w:ascii="Arial" w:hAnsi="Arial" w:cs="Arial"/>
          <w:b/>
          <w:sz w:val="20"/>
          <w:szCs w:val="20"/>
        </w:rPr>
        <w:t xml:space="preserve"> key metrics </w:t>
      </w:r>
      <w:r w:rsidR="008C12B9">
        <w:rPr>
          <w:rFonts w:ascii="Arial" w:hAnsi="Arial" w:cs="Arial"/>
          <w:b/>
          <w:sz w:val="20"/>
          <w:szCs w:val="20"/>
        </w:rPr>
        <w:t>is</w:t>
      </w:r>
      <w:r w:rsidR="004B23C9">
        <w:rPr>
          <w:rFonts w:ascii="Arial" w:hAnsi="Arial" w:cs="Arial"/>
          <w:b/>
          <w:sz w:val="20"/>
          <w:szCs w:val="20"/>
        </w:rPr>
        <w:t xml:space="preserve"> still</w:t>
      </w:r>
      <w:r w:rsidR="00E75C44" w:rsidRPr="00007483">
        <w:rPr>
          <w:rFonts w:ascii="Arial" w:hAnsi="Arial" w:cs="Arial"/>
          <w:b/>
          <w:sz w:val="20"/>
          <w:szCs w:val="20"/>
        </w:rPr>
        <w:t xml:space="preserve"> absent for most companies, making it difficult for investors and the public to assess and compare performance.</w:t>
      </w:r>
      <w:r w:rsidR="004B23C9">
        <w:rPr>
          <w:rFonts w:ascii="Arial" w:hAnsi="Arial" w:cs="Arial"/>
          <w:b/>
          <w:sz w:val="20"/>
          <w:szCs w:val="20"/>
        </w:rPr>
        <w:t xml:space="preserve"> Methane reporting, in particular, is almost non-existent among the companies </w:t>
      </w:r>
      <w:r w:rsidR="00A45648">
        <w:rPr>
          <w:rFonts w:ascii="Arial" w:hAnsi="Arial" w:cs="Arial"/>
          <w:b/>
          <w:sz w:val="20"/>
          <w:szCs w:val="20"/>
        </w:rPr>
        <w:t>we surveyed</w:t>
      </w:r>
      <w:r w:rsidR="004B23C9">
        <w:rPr>
          <w:rFonts w:ascii="Arial" w:hAnsi="Arial" w:cs="Arial"/>
          <w:b/>
          <w:sz w:val="20"/>
          <w:szCs w:val="20"/>
        </w:rPr>
        <w:t>.</w:t>
      </w:r>
      <w:r w:rsidR="00E75C44" w:rsidRPr="00007483">
        <w:rPr>
          <w:rFonts w:ascii="Arial" w:hAnsi="Arial" w:cs="Arial"/>
          <w:b/>
          <w:sz w:val="20"/>
          <w:szCs w:val="20"/>
        </w:rPr>
        <w:t>”</w:t>
      </w:r>
    </w:p>
    <w:p w14:paraId="715D57A6" w14:textId="77777777" w:rsidR="00E75C44" w:rsidRDefault="00E75C44" w:rsidP="00A45648">
      <w:pPr>
        <w:spacing w:after="0" w:line="240" w:lineRule="auto"/>
        <w:rPr>
          <w:rFonts w:ascii="Arial" w:hAnsi="Arial" w:cs="Arial"/>
          <w:b/>
          <w:sz w:val="20"/>
          <w:szCs w:val="20"/>
        </w:rPr>
      </w:pPr>
    </w:p>
    <w:p w14:paraId="24F880AE" w14:textId="77777777" w:rsidR="00E75C44" w:rsidRPr="00483448" w:rsidRDefault="004B23C9" w:rsidP="00A45648">
      <w:pPr>
        <w:spacing w:after="0" w:line="240" w:lineRule="auto"/>
        <w:rPr>
          <w:rFonts w:ascii="Arial" w:hAnsi="Arial" w:cs="Arial"/>
          <w:sz w:val="20"/>
          <w:szCs w:val="20"/>
        </w:rPr>
      </w:pPr>
      <w:r>
        <w:rPr>
          <w:rFonts w:ascii="Arial" w:hAnsi="Arial" w:cs="Arial"/>
          <w:b/>
          <w:sz w:val="20"/>
          <w:szCs w:val="20"/>
        </w:rPr>
        <w:t xml:space="preserve">“It is encouraging to see </w:t>
      </w:r>
      <w:r w:rsidR="0069650B">
        <w:rPr>
          <w:rFonts w:ascii="Arial" w:hAnsi="Arial" w:cs="Arial"/>
          <w:b/>
          <w:sz w:val="20"/>
          <w:szCs w:val="20"/>
        </w:rPr>
        <w:t>a</w:t>
      </w:r>
      <w:r>
        <w:rPr>
          <w:rFonts w:ascii="Arial" w:hAnsi="Arial" w:cs="Arial"/>
          <w:b/>
          <w:sz w:val="20"/>
          <w:szCs w:val="20"/>
        </w:rPr>
        <w:t xml:space="preserve"> new </w:t>
      </w:r>
      <w:r w:rsidR="0069650B">
        <w:rPr>
          <w:rFonts w:ascii="Arial" w:hAnsi="Arial" w:cs="Arial"/>
          <w:b/>
          <w:sz w:val="20"/>
          <w:szCs w:val="20"/>
        </w:rPr>
        <w:t>company</w:t>
      </w:r>
      <w:r w:rsidR="00627033">
        <w:rPr>
          <w:rFonts w:ascii="Arial" w:hAnsi="Arial" w:cs="Arial"/>
          <w:b/>
          <w:sz w:val="20"/>
          <w:szCs w:val="20"/>
        </w:rPr>
        <w:t>—CONSOL--</w:t>
      </w:r>
      <w:r w:rsidR="00E75C44" w:rsidRPr="002A609C">
        <w:rPr>
          <w:rFonts w:ascii="Arial" w:hAnsi="Arial" w:cs="Arial"/>
          <w:b/>
          <w:sz w:val="20"/>
          <w:szCs w:val="20"/>
        </w:rPr>
        <w:t xml:space="preserve"> </w:t>
      </w:r>
      <w:r>
        <w:rPr>
          <w:rFonts w:ascii="Arial" w:hAnsi="Arial" w:cs="Arial"/>
          <w:b/>
          <w:sz w:val="20"/>
          <w:szCs w:val="20"/>
        </w:rPr>
        <w:t xml:space="preserve">jumping into the </w:t>
      </w:r>
      <w:r w:rsidR="0069650B">
        <w:rPr>
          <w:rFonts w:ascii="Arial" w:hAnsi="Arial" w:cs="Arial"/>
          <w:b/>
          <w:sz w:val="20"/>
          <w:szCs w:val="20"/>
        </w:rPr>
        <w:t xml:space="preserve">top five in </w:t>
      </w:r>
      <w:r>
        <w:rPr>
          <w:rFonts w:ascii="Arial" w:hAnsi="Arial" w:cs="Arial"/>
          <w:b/>
          <w:sz w:val="20"/>
          <w:szCs w:val="20"/>
        </w:rPr>
        <w:t>this year</w:t>
      </w:r>
      <w:r w:rsidR="0069650B">
        <w:rPr>
          <w:rFonts w:ascii="Arial" w:hAnsi="Arial" w:cs="Arial"/>
          <w:b/>
          <w:sz w:val="20"/>
          <w:szCs w:val="20"/>
        </w:rPr>
        <w:t xml:space="preserve">’s </w:t>
      </w:r>
      <w:r w:rsidR="00EB4A09">
        <w:rPr>
          <w:rFonts w:ascii="Arial" w:hAnsi="Arial" w:cs="Arial"/>
          <w:b/>
          <w:sz w:val="20"/>
          <w:szCs w:val="20"/>
        </w:rPr>
        <w:t>scorecard</w:t>
      </w:r>
      <w:r>
        <w:rPr>
          <w:rFonts w:ascii="Arial" w:hAnsi="Arial" w:cs="Arial"/>
          <w:b/>
          <w:sz w:val="20"/>
          <w:szCs w:val="20"/>
        </w:rPr>
        <w:t>.  B</w:t>
      </w:r>
      <w:r w:rsidR="00E75C44" w:rsidRPr="002A609C">
        <w:rPr>
          <w:rFonts w:ascii="Arial" w:hAnsi="Arial" w:cs="Arial"/>
          <w:b/>
          <w:sz w:val="20"/>
          <w:szCs w:val="20"/>
        </w:rPr>
        <w:t>ut we need to see a bigger commitment</w:t>
      </w:r>
      <w:r>
        <w:rPr>
          <w:rFonts w:ascii="Arial" w:hAnsi="Arial" w:cs="Arial"/>
          <w:b/>
          <w:sz w:val="20"/>
          <w:szCs w:val="20"/>
        </w:rPr>
        <w:t xml:space="preserve"> from the industry in general</w:t>
      </w:r>
      <w:r w:rsidR="00E75C44" w:rsidRPr="002A609C">
        <w:rPr>
          <w:rFonts w:ascii="Arial" w:hAnsi="Arial" w:cs="Arial"/>
          <w:b/>
          <w:sz w:val="20"/>
          <w:szCs w:val="20"/>
        </w:rPr>
        <w:t>,”</w:t>
      </w:r>
      <w:r w:rsidR="00E75C44">
        <w:rPr>
          <w:rFonts w:ascii="Arial" w:hAnsi="Arial" w:cs="Arial"/>
          <w:sz w:val="20"/>
          <w:szCs w:val="20"/>
        </w:rPr>
        <w:t xml:space="preserve"> </w:t>
      </w:r>
      <w:r w:rsidR="00E75C44" w:rsidRPr="002A609C">
        <w:rPr>
          <w:rFonts w:ascii="Arial" w:hAnsi="Arial" w:cs="Arial"/>
          <w:sz w:val="20"/>
          <w:szCs w:val="20"/>
        </w:rPr>
        <w:t xml:space="preserve">said Danielle Fugere, </w:t>
      </w:r>
      <w:r w:rsidR="00E0785C">
        <w:rPr>
          <w:rFonts w:ascii="Arial" w:hAnsi="Arial" w:cs="Arial"/>
          <w:sz w:val="20"/>
          <w:szCs w:val="20"/>
        </w:rPr>
        <w:t>p</w:t>
      </w:r>
      <w:r w:rsidR="00E75C44" w:rsidRPr="002A609C">
        <w:rPr>
          <w:rFonts w:ascii="Arial" w:hAnsi="Arial" w:cs="Arial"/>
          <w:sz w:val="20"/>
          <w:szCs w:val="20"/>
        </w:rPr>
        <w:t>resident of As You Sow.</w:t>
      </w:r>
      <w:r w:rsidR="00E75C44">
        <w:rPr>
          <w:rFonts w:ascii="Arial" w:hAnsi="Arial" w:cs="Arial"/>
          <w:sz w:val="20"/>
          <w:szCs w:val="20"/>
        </w:rPr>
        <w:t xml:space="preserve"> </w:t>
      </w:r>
      <w:r w:rsidR="00E75C44" w:rsidRPr="002A609C">
        <w:rPr>
          <w:rFonts w:ascii="Arial" w:hAnsi="Arial" w:cs="Arial"/>
          <w:b/>
          <w:sz w:val="20"/>
          <w:szCs w:val="20"/>
        </w:rPr>
        <w:t>“</w:t>
      </w:r>
      <w:r w:rsidR="00A45648">
        <w:rPr>
          <w:rFonts w:ascii="Arial" w:hAnsi="Arial" w:cs="Arial"/>
          <w:b/>
          <w:sz w:val="20"/>
          <w:szCs w:val="20"/>
        </w:rPr>
        <w:t>W</w:t>
      </w:r>
      <w:r>
        <w:rPr>
          <w:rFonts w:ascii="Arial" w:hAnsi="Arial" w:cs="Arial"/>
          <w:b/>
          <w:sz w:val="20"/>
          <w:szCs w:val="20"/>
        </w:rPr>
        <w:t>hile progress has been made</w:t>
      </w:r>
      <w:r w:rsidRPr="004B23C9">
        <w:rPr>
          <w:rFonts w:ascii="Arial" w:hAnsi="Arial" w:cs="Arial"/>
          <w:b/>
          <w:sz w:val="20"/>
          <w:szCs w:val="20"/>
        </w:rPr>
        <w:t xml:space="preserve">, </w:t>
      </w:r>
      <w:r w:rsidR="00DD7029">
        <w:rPr>
          <w:rFonts w:ascii="Arial" w:hAnsi="Arial" w:cs="Arial"/>
          <w:b/>
          <w:sz w:val="20"/>
          <w:szCs w:val="20"/>
        </w:rPr>
        <w:t xml:space="preserve">companies must improve </w:t>
      </w:r>
      <w:r w:rsidR="008C12B9">
        <w:rPr>
          <w:rFonts w:ascii="Arial" w:hAnsi="Arial" w:cs="Arial"/>
          <w:b/>
          <w:sz w:val="20"/>
          <w:szCs w:val="20"/>
        </w:rPr>
        <w:t xml:space="preserve">their </w:t>
      </w:r>
      <w:r w:rsidRPr="004B23C9">
        <w:rPr>
          <w:rFonts w:ascii="Arial" w:hAnsi="Arial" w:cs="Arial"/>
          <w:b/>
          <w:sz w:val="20"/>
          <w:szCs w:val="20"/>
        </w:rPr>
        <w:t>lo</w:t>
      </w:r>
      <w:r w:rsidR="00DD7029">
        <w:rPr>
          <w:rFonts w:ascii="Arial" w:hAnsi="Arial" w:cs="Arial"/>
          <w:b/>
          <w:sz w:val="20"/>
          <w:szCs w:val="20"/>
        </w:rPr>
        <w:t>cal disclosures</w:t>
      </w:r>
      <w:r w:rsidR="008C12B9">
        <w:rPr>
          <w:rFonts w:ascii="Arial" w:hAnsi="Arial" w:cs="Arial"/>
          <w:b/>
          <w:sz w:val="20"/>
          <w:szCs w:val="20"/>
        </w:rPr>
        <w:t xml:space="preserve"> -- </w:t>
      </w:r>
      <w:r w:rsidR="00DD7029">
        <w:rPr>
          <w:rFonts w:ascii="Arial" w:hAnsi="Arial" w:cs="Arial"/>
          <w:b/>
          <w:sz w:val="20"/>
          <w:szCs w:val="20"/>
        </w:rPr>
        <w:t>their</w:t>
      </w:r>
      <w:r w:rsidRPr="004B23C9">
        <w:rPr>
          <w:rFonts w:ascii="Arial" w:hAnsi="Arial" w:cs="Arial"/>
          <w:b/>
          <w:sz w:val="20"/>
          <w:szCs w:val="20"/>
        </w:rPr>
        <w:t xml:space="preserve"> social license to operate is often determined by local concerns </w:t>
      </w:r>
      <w:r w:rsidR="00DD7029">
        <w:rPr>
          <w:rFonts w:ascii="Arial" w:hAnsi="Arial" w:cs="Arial"/>
          <w:b/>
          <w:sz w:val="20"/>
          <w:szCs w:val="20"/>
        </w:rPr>
        <w:t>such as</w:t>
      </w:r>
      <w:r w:rsidRPr="004B23C9">
        <w:rPr>
          <w:rFonts w:ascii="Arial" w:hAnsi="Arial" w:cs="Arial"/>
          <w:b/>
          <w:sz w:val="20"/>
          <w:szCs w:val="20"/>
        </w:rPr>
        <w:t xml:space="preserve"> land and water use, air and water pollution, and nuisances such as noise, light pollu</w:t>
      </w:r>
      <w:r>
        <w:rPr>
          <w:rFonts w:ascii="Arial" w:hAnsi="Arial" w:cs="Arial"/>
          <w:b/>
          <w:sz w:val="20"/>
          <w:szCs w:val="20"/>
        </w:rPr>
        <w:t>tion, traffic, and road damage.”</w:t>
      </w:r>
    </w:p>
    <w:p w14:paraId="6C6D52F9" w14:textId="77777777" w:rsidR="00E75C44" w:rsidRPr="00483448" w:rsidRDefault="00E75C44" w:rsidP="00A45648">
      <w:pPr>
        <w:spacing w:after="0" w:line="240" w:lineRule="auto"/>
        <w:rPr>
          <w:rFonts w:ascii="Arial" w:hAnsi="Arial" w:cs="Arial"/>
          <w:sz w:val="20"/>
          <w:szCs w:val="20"/>
        </w:rPr>
      </w:pPr>
    </w:p>
    <w:p w14:paraId="39150A67" w14:textId="77777777" w:rsidR="00E75C44" w:rsidRPr="00483448" w:rsidRDefault="00E75C44" w:rsidP="00A45648">
      <w:pPr>
        <w:spacing w:after="0" w:line="240" w:lineRule="auto"/>
        <w:rPr>
          <w:rFonts w:ascii="Arial" w:hAnsi="Arial" w:cs="Arial"/>
          <w:sz w:val="20"/>
          <w:szCs w:val="20"/>
        </w:rPr>
      </w:pPr>
      <w:r w:rsidRPr="002A609C">
        <w:rPr>
          <w:rFonts w:ascii="Arial" w:hAnsi="Arial" w:cs="Arial"/>
          <w:b/>
          <w:sz w:val="20"/>
          <w:szCs w:val="20"/>
        </w:rPr>
        <w:t xml:space="preserve">“The </w:t>
      </w:r>
      <w:r w:rsidR="002428CA">
        <w:rPr>
          <w:rFonts w:ascii="Arial" w:hAnsi="Arial" w:cs="Arial"/>
          <w:b/>
          <w:sz w:val="20"/>
          <w:szCs w:val="20"/>
        </w:rPr>
        <w:t xml:space="preserve">report </w:t>
      </w:r>
      <w:r w:rsidRPr="002A609C">
        <w:rPr>
          <w:rFonts w:ascii="Arial" w:hAnsi="Arial" w:cs="Arial"/>
          <w:b/>
          <w:sz w:val="20"/>
          <w:szCs w:val="20"/>
        </w:rPr>
        <w:t>shows that</w:t>
      </w:r>
      <w:r w:rsidRPr="002A609C">
        <w:rPr>
          <w:b/>
        </w:rPr>
        <w:t xml:space="preserve"> </w:t>
      </w:r>
      <w:r w:rsidRPr="002A609C">
        <w:rPr>
          <w:rFonts w:ascii="Arial" w:hAnsi="Arial" w:cs="Arial"/>
          <w:b/>
          <w:sz w:val="20"/>
          <w:szCs w:val="20"/>
        </w:rPr>
        <w:t xml:space="preserve">several good practices are becoming more </w:t>
      </w:r>
      <w:r>
        <w:rPr>
          <w:rFonts w:ascii="Arial" w:hAnsi="Arial" w:cs="Arial"/>
          <w:b/>
          <w:sz w:val="20"/>
          <w:szCs w:val="20"/>
        </w:rPr>
        <w:t>widespread</w:t>
      </w:r>
      <w:r w:rsidRPr="002A609C">
        <w:rPr>
          <w:rFonts w:ascii="Arial" w:hAnsi="Arial" w:cs="Arial"/>
          <w:b/>
          <w:sz w:val="20"/>
          <w:szCs w:val="20"/>
        </w:rPr>
        <w:t xml:space="preserve">. We see </w:t>
      </w:r>
      <w:r w:rsidR="003C0A50">
        <w:rPr>
          <w:rFonts w:ascii="Arial" w:hAnsi="Arial" w:cs="Arial"/>
          <w:b/>
          <w:sz w:val="20"/>
          <w:szCs w:val="20"/>
        </w:rPr>
        <w:t>c</w:t>
      </w:r>
      <w:r w:rsidR="003C0A50" w:rsidRPr="003C0A50">
        <w:rPr>
          <w:rFonts w:ascii="Arial" w:hAnsi="Arial" w:cs="Arial"/>
          <w:b/>
          <w:sz w:val="20"/>
          <w:szCs w:val="20"/>
        </w:rPr>
        <w:t xml:space="preserve">ompanies continue to pursue operating innovations that not only save money but also yield environmental benefits. These include, for example, substituting pipelines for trucks to move </w:t>
      </w:r>
      <w:r w:rsidR="003C0A50" w:rsidRPr="003C0A50">
        <w:rPr>
          <w:rFonts w:ascii="Arial" w:hAnsi="Arial" w:cs="Arial"/>
          <w:b/>
          <w:sz w:val="20"/>
          <w:szCs w:val="20"/>
        </w:rPr>
        <w:lastRenderedPageBreak/>
        <w:t xml:space="preserve">water and waste water, enhancing leak detection and repair efforts, and using less, but safer and </w:t>
      </w:r>
      <w:r w:rsidR="003C0A50">
        <w:rPr>
          <w:rFonts w:ascii="Arial" w:hAnsi="Arial" w:cs="Arial"/>
          <w:b/>
          <w:sz w:val="20"/>
          <w:szCs w:val="20"/>
        </w:rPr>
        <w:t>more cost-effective chemicals</w:t>
      </w:r>
      <w:r w:rsidRPr="002A609C">
        <w:rPr>
          <w:rFonts w:ascii="Arial" w:hAnsi="Arial" w:cs="Arial"/>
          <w:b/>
          <w:sz w:val="20"/>
          <w:szCs w:val="20"/>
        </w:rPr>
        <w:t>,”</w:t>
      </w:r>
      <w:r w:rsidRPr="00483448">
        <w:rPr>
          <w:rFonts w:ascii="Arial" w:hAnsi="Arial" w:cs="Arial"/>
          <w:sz w:val="20"/>
          <w:szCs w:val="20"/>
        </w:rPr>
        <w:t xml:space="preserve"> said Steven Heim, managing director of Boston Common Asset Management. </w:t>
      </w:r>
      <w:r w:rsidRPr="002A609C">
        <w:rPr>
          <w:rFonts w:ascii="Arial" w:hAnsi="Arial" w:cs="Arial"/>
          <w:b/>
          <w:sz w:val="20"/>
          <w:szCs w:val="20"/>
        </w:rPr>
        <w:t>“</w:t>
      </w:r>
      <w:r w:rsidR="001D1793">
        <w:rPr>
          <w:rFonts w:ascii="Arial" w:hAnsi="Arial" w:cs="Arial"/>
          <w:b/>
          <w:sz w:val="20"/>
          <w:szCs w:val="20"/>
        </w:rPr>
        <w:t>A</w:t>
      </w:r>
      <w:r w:rsidRPr="002A609C">
        <w:rPr>
          <w:rFonts w:ascii="Arial" w:hAnsi="Arial" w:cs="Arial"/>
          <w:b/>
          <w:sz w:val="20"/>
          <w:szCs w:val="20"/>
        </w:rPr>
        <w:t xml:space="preserve">bsent </w:t>
      </w:r>
      <w:r w:rsidR="003C0A50">
        <w:rPr>
          <w:rFonts w:ascii="Arial" w:hAnsi="Arial" w:cs="Arial"/>
          <w:b/>
          <w:sz w:val="20"/>
          <w:szCs w:val="20"/>
        </w:rPr>
        <w:t xml:space="preserve">greater </w:t>
      </w:r>
      <w:r w:rsidRPr="002A609C">
        <w:rPr>
          <w:rFonts w:ascii="Arial" w:hAnsi="Arial" w:cs="Arial"/>
          <w:b/>
          <w:sz w:val="20"/>
          <w:szCs w:val="20"/>
        </w:rPr>
        <w:t>disclosure</w:t>
      </w:r>
      <w:r w:rsidR="00837CD7">
        <w:rPr>
          <w:rFonts w:ascii="Arial" w:hAnsi="Arial" w:cs="Arial"/>
          <w:b/>
          <w:sz w:val="20"/>
          <w:szCs w:val="20"/>
        </w:rPr>
        <w:t xml:space="preserve"> on things like </w:t>
      </w:r>
      <w:r w:rsidR="004D6D2B">
        <w:rPr>
          <w:rFonts w:ascii="Arial" w:hAnsi="Arial" w:cs="Arial"/>
          <w:b/>
          <w:sz w:val="20"/>
          <w:szCs w:val="20"/>
        </w:rPr>
        <w:t>methane</w:t>
      </w:r>
      <w:r w:rsidR="00837CD7">
        <w:rPr>
          <w:rFonts w:ascii="Arial" w:hAnsi="Arial" w:cs="Arial"/>
          <w:b/>
          <w:sz w:val="20"/>
          <w:szCs w:val="20"/>
        </w:rPr>
        <w:t xml:space="preserve">, </w:t>
      </w:r>
      <w:r w:rsidR="003C0A50">
        <w:rPr>
          <w:rFonts w:ascii="Arial" w:hAnsi="Arial" w:cs="Arial"/>
          <w:b/>
          <w:sz w:val="20"/>
          <w:szCs w:val="20"/>
        </w:rPr>
        <w:t>other air emissions</w:t>
      </w:r>
      <w:r w:rsidRPr="002A609C">
        <w:rPr>
          <w:rFonts w:ascii="Arial" w:hAnsi="Arial" w:cs="Arial"/>
          <w:b/>
          <w:sz w:val="20"/>
          <w:szCs w:val="20"/>
        </w:rPr>
        <w:t>,</w:t>
      </w:r>
      <w:r w:rsidR="00837CD7">
        <w:rPr>
          <w:rFonts w:ascii="Arial" w:hAnsi="Arial" w:cs="Arial"/>
          <w:b/>
          <w:sz w:val="20"/>
          <w:szCs w:val="20"/>
        </w:rPr>
        <w:t xml:space="preserve"> and growing concerns around induced seismicity,</w:t>
      </w:r>
      <w:r w:rsidRPr="002A609C">
        <w:rPr>
          <w:rFonts w:ascii="Arial" w:hAnsi="Arial" w:cs="Arial"/>
          <w:b/>
          <w:sz w:val="20"/>
          <w:szCs w:val="20"/>
        </w:rPr>
        <w:t xml:space="preserve"> investors have no way of crediting those companies making meaningful efforts to adopt best practices and mitigate their impacts on communities and the environment.</w:t>
      </w:r>
      <w:r w:rsidR="004D6D2B">
        <w:rPr>
          <w:rFonts w:ascii="Arial" w:hAnsi="Arial" w:cs="Arial"/>
          <w:b/>
          <w:sz w:val="20"/>
          <w:szCs w:val="20"/>
        </w:rPr>
        <w:t>”</w:t>
      </w:r>
      <w:r>
        <w:rPr>
          <w:rFonts w:ascii="Arial" w:hAnsi="Arial" w:cs="Arial"/>
          <w:b/>
          <w:sz w:val="20"/>
          <w:szCs w:val="20"/>
        </w:rPr>
        <w:t xml:space="preserve">  </w:t>
      </w:r>
    </w:p>
    <w:p w14:paraId="773CD347" w14:textId="77777777" w:rsidR="00702266" w:rsidRDefault="00702266" w:rsidP="00A45648">
      <w:pPr>
        <w:spacing w:after="0" w:line="240" w:lineRule="auto"/>
        <w:rPr>
          <w:rFonts w:ascii="Arial" w:hAnsi="Arial" w:cs="Arial"/>
          <w:sz w:val="20"/>
          <w:szCs w:val="20"/>
        </w:rPr>
      </w:pPr>
    </w:p>
    <w:p w14:paraId="73823E08" w14:textId="77777777" w:rsidR="00483448" w:rsidRDefault="00837CD7" w:rsidP="00A45648">
      <w:pPr>
        <w:spacing w:after="0" w:line="240" w:lineRule="auto"/>
        <w:rPr>
          <w:rFonts w:ascii="Arial" w:hAnsi="Arial" w:cs="Arial"/>
          <w:sz w:val="20"/>
          <w:szCs w:val="20"/>
        </w:rPr>
      </w:pPr>
      <w:r w:rsidRPr="00837CD7">
        <w:rPr>
          <w:rFonts w:ascii="Arial" w:hAnsi="Arial" w:cs="Arial"/>
          <w:sz w:val="20"/>
          <w:szCs w:val="20"/>
        </w:rPr>
        <w:t xml:space="preserve">This 2015 scorecard benchmarks the public disclosures of 30 companies on 39 key performance indicators. It distinguishes companies disclosing more about practices and impacts from those disclosing less. The scorecard assesses five areas of environmental, social, and governance metrics emphasizing, on a play-by-play basis, quantitative disclosures for: (1) </w:t>
      </w:r>
      <w:r w:rsidR="004D6D2B">
        <w:rPr>
          <w:rFonts w:ascii="Arial" w:hAnsi="Arial" w:cs="Arial"/>
          <w:sz w:val="20"/>
          <w:szCs w:val="20"/>
        </w:rPr>
        <w:t>t</w:t>
      </w:r>
      <w:r w:rsidRPr="00837CD7">
        <w:rPr>
          <w:rFonts w:ascii="Arial" w:hAnsi="Arial" w:cs="Arial"/>
          <w:sz w:val="20"/>
          <w:szCs w:val="20"/>
        </w:rPr>
        <w:t xml:space="preserve">oxic chemicals; (2) </w:t>
      </w:r>
      <w:r w:rsidR="004D6D2B">
        <w:rPr>
          <w:rFonts w:ascii="Arial" w:hAnsi="Arial" w:cs="Arial"/>
          <w:sz w:val="20"/>
          <w:szCs w:val="20"/>
        </w:rPr>
        <w:t>w</w:t>
      </w:r>
      <w:r w:rsidRPr="00837CD7">
        <w:rPr>
          <w:rFonts w:ascii="Arial" w:hAnsi="Arial" w:cs="Arial"/>
          <w:sz w:val="20"/>
          <w:szCs w:val="20"/>
        </w:rPr>
        <w:t xml:space="preserve">ater and waste management; (3) </w:t>
      </w:r>
      <w:r w:rsidR="004D6D2B">
        <w:rPr>
          <w:rFonts w:ascii="Arial" w:hAnsi="Arial" w:cs="Arial"/>
          <w:sz w:val="20"/>
          <w:szCs w:val="20"/>
        </w:rPr>
        <w:t>a</w:t>
      </w:r>
      <w:r w:rsidRPr="00837CD7">
        <w:rPr>
          <w:rFonts w:ascii="Arial" w:hAnsi="Arial" w:cs="Arial"/>
          <w:sz w:val="20"/>
          <w:szCs w:val="20"/>
        </w:rPr>
        <w:t xml:space="preserve">ir emissions; (4) </w:t>
      </w:r>
      <w:r w:rsidR="004D6D2B">
        <w:rPr>
          <w:rFonts w:ascii="Arial" w:hAnsi="Arial" w:cs="Arial"/>
          <w:sz w:val="20"/>
          <w:szCs w:val="20"/>
        </w:rPr>
        <w:t>c</w:t>
      </w:r>
      <w:r w:rsidRPr="00837CD7">
        <w:rPr>
          <w:rFonts w:ascii="Arial" w:hAnsi="Arial" w:cs="Arial"/>
          <w:sz w:val="20"/>
          <w:szCs w:val="20"/>
        </w:rPr>
        <w:t xml:space="preserve">ommunity impacts; and (5) </w:t>
      </w:r>
      <w:r w:rsidR="004D6D2B">
        <w:rPr>
          <w:rFonts w:ascii="Arial" w:hAnsi="Arial" w:cs="Arial"/>
          <w:sz w:val="20"/>
          <w:szCs w:val="20"/>
        </w:rPr>
        <w:t>m</w:t>
      </w:r>
      <w:r w:rsidRPr="00837CD7">
        <w:rPr>
          <w:rFonts w:ascii="Arial" w:hAnsi="Arial" w:cs="Arial"/>
          <w:sz w:val="20"/>
          <w:szCs w:val="20"/>
        </w:rPr>
        <w:t>anagement accountability.  It relies solely on publicly available information companies provide on their websites or in corporate financial statements or other reports linked from their websites.</w:t>
      </w:r>
    </w:p>
    <w:p w14:paraId="6692A0D4" w14:textId="77777777" w:rsidR="00837CD7" w:rsidRPr="00483448" w:rsidRDefault="00837CD7" w:rsidP="00A45648">
      <w:pPr>
        <w:spacing w:after="0" w:line="240" w:lineRule="auto"/>
        <w:rPr>
          <w:rFonts w:ascii="Arial" w:hAnsi="Arial" w:cs="Arial"/>
          <w:sz w:val="20"/>
          <w:szCs w:val="20"/>
        </w:rPr>
      </w:pPr>
    </w:p>
    <w:p w14:paraId="2230E2D3" w14:textId="77777777" w:rsidR="00174D10" w:rsidRDefault="003C0A50" w:rsidP="00A45648">
      <w:pPr>
        <w:spacing w:after="0" w:line="240" w:lineRule="auto"/>
        <w:rPr>
          <w:rFonts w:ascii="Arial" w:hAnsi="Arial" w:cs="Arial"/>
          <w:sz w:val="20"/>
          <w:szCs w:val="20"/>
        </w:rPr>
      </w:pPr>
      <w:r w:rsidRPr="003C0A50">
        <w:rPr>
          <w:rFonts w:ascii="Arial" w:hAnsi="Arial" w:cs="Arial"/>
          <w:sz w:val="20"/>
          <w:szCs w:val="20"/>
        </w:rPr>
        <w:t>The five most widely reported indicators include: substituting pipelines for trucks to transport water for fracturing (23 companies); declaring a practice to use non-potable water instead of fresh water for fracturing whenever feasible (19 companies); avoiding use of diesel fuel in hydraulic fracturing fluids (16 companies); relying on independent third-party databases to screen poten</w:t>
      </w:r>
      <w:r w:rsidR="0069650B">
        <w:rPr>
          <w:rFonts w:ascii="Arial" w:hAnsi="Arial" w:cs="Arial"/>
          <w:sz w:val="20"/>
          <w:szCs w:val="20"/>
        </w:rPr>
        <w:t xml:space="preserve">tial contractors (16 companies); and </w:t>
      </w:r>
      <w:r w:rsidR="0069650B" w:rsidRPr="0069650B">
        <w:rPr>
          <w:rFonts w:ascii="Arial" w:hAnsi="Arial" w:cs="Arial"/>
          <w:sz w:val="20"/>
          <w:szCs w:val="20"/>
        </w:rPr>
        <w:t>linking compensation of senior management to health, safety, and environ</w:t>
      </w:r>
      <w:r w:rsidR="0069650B">
        <w:rPr>
          <w:rFonts w:ascii="Arial" w:hAnsi="Arial" w:cs="Arial"/>
          <w:sz w:val="20"/>
          <w:szCs w:val="20"/>
        </w:rPr>
        <w:t>ment metrics (15 companies).</w:t>
      </w:r>
    </w:p>
    <w:p w14:paraId="487A6B27" w14:textId="77777777" w:rsidR="00A42B82" w:rsidRDefault="00A42B82" w:rsidP="00A45648">
      <w:pPr>
        <w:spacing w:after="0" w:line="240" w:lineRule="auto"/>
        <w:rPr>
          <w:rFonts w:ascii="Arial" w:hAnsi="Arial" w:cs="Arial"/>
          <w:sz w:val="20"/>
          <w:szCs w:val="20"/>
        </w:rPr>
      </w:pPr>
    </w:p>
    <w:p w14:paraId="1B6DA158" w14:textId="77777777" w:rsidR="00CB1CBD" w:rsidRDefault="00A42B82" w:rsidP="00A45648">
      <w:pPr>
        <w:spacing w:after="0" w:line="240" w:lineRule="auto"/>
        <w:rPr>
          <w:rFonts w:ascii="Arial" w:hAnsi="Arial" w:cs="Arial"/>
          <w:szCs w:val="20"/>
        </w:rPr>
      </w:pPr>
      <w:r>
        <w:rPr>
          <w:rFonts w:ascii="Arial" w:hAnsi="Arial" w:cs="Arial"/>
          <w:sz w:val="20"/>
          <w:szCs w:val="20"/>
        </w:rPr>
        <w:t>T</w:t>
      </w:r>
      <w:r w:rsidR="00174D10">
        <w:rPr>
          <w:rFonts w:ascii="Arial" w:hAnsi="Arial" w:cs="Arial"/>
          <w:sz w:val="20"/>
          <w:szCs w:val="20"/>
        </w:rPr>
        <w:t>he complete ranking of the 30 companies is</w:t>
      </w:r>
      <w:r>
        <w:rPr>
          <w:rFonts w:ascii="Arial" w:hAnsi="Arial" w:cs="Arial"/>
          <w:sz w:val="20"/>
          <w:szCs w:val="20"/>
        </w:rPr>
        <w:t xml:space="preserve"> as follows</w:t>
      </w:r>
      <w:r w:rsidR="00174D10">
        <w:rPr>
          <w:rFonts w:ascii="Arial" w:hAnsi="Arial" w:cs="Arial"/>
          <w:sz w:val="20"/>
          <w:szCs w:val="20"/>
        </w:rPr>
        <w:t xml:space="preserve">: </w:t>
      </w:r>
    </w:p>
    <w:p w14:paraId="57D36F34" w14:textId="77777777" w:rsidR="00EA4F03" w:rsidRPr="00ED6591" w:rsidRDefault="00EA4F03" w:rsidP="00A45648">
      <w:pPr>
        <w:spacing w:after="0" w:line="240" w:lineRule="auto"/>
        <w:rPr>
          <w:rFonts w:ascii="Arial" w:hAnsi="Arial" w:cs="Arial"/>
          <w:szCs w:val="20"/>
        </w:rPr>
      </w:pPr>
      <w:r>
        <w:rPr>
          <w:rFonts w:ascii="Arial" w:hAnsi="Arial" w:cs="Arial"/>
          <w:szCs w:val="20"/>
        </w:rPr>
        <w:t>____________________________________________________________________________</w:t>
      </w:r>
    </w:p>
    <w:p w14:paraId="655E0D9B" w14:textId="77777777" w:rsidR="00EA4F03" w:rsidRPr="00ED6591" w:rsidRDefault="00EA4F03" w:rsidP="00A45648">
      <w:pPr>
        <w:spacing w:after="0" w:line="240" w:lineRule="auto"/>
        <w:rPr>
          <w:rFonts w:ascii="Arial" w:hAnsi="Arial" w:cs="Arial"/>
          <w:b/>
          <w:szCs w:val="20"/>
        </w:rPr>
      </w:pPr>
      <w:r w:rsidRPr="00ED6591">
        <w:rPr>
          <w:rFonts w:ascii="Arial" w:hAnsi="Arial" w:cs="Arial"/>
          <w:b/>
          <w:sz w:val="24"/>
        </w:rPr>
        <w:t>COMPANY</w:t>
      </w:r>
      <w:r w:rsidR="00EB4A09">
        <w:rPr>
          <w:rFonts w:ascii="Arial" w:hAnsi="Arial" w:cs="Arial"/>
          <w:b/>
          <w:sz w:val="24"/>
        </w:rPr>
        <w:t>*</w:t>
      </w:r>
      <w:r w:rsidRPr="00ED6591">
        <w:rPr>
          <w:rFonts w:ascii="Arial" w:hAnsi="Arial" w:cs="Arial"/>
          <w:sz w:val="24"/>
        </w:rPr>
        <w:t xml:space="preserve"> </w:t>
      </w:r>
      <w:r w:rsidRPr="00ED6591">
        <w:rPr>
          <w:rFonts w:ascii="Arial" w:hAnsi="Arial" w:cs="Arial"/>
          <w:szCs w:val="20"/>
        </w:rPr>
        <w:tab/>
      </w:r>
      <w:r w:rsidRPr="00ED6591">
        <w:rPr>
          <w:rFonts w:ascii="Arial" w:hAnsi="Arial" w:cs="Arial"/>
          <w:szCs w:val="20"/>
        </w:rPr>
        <w:tab/>
      </w:r>
      <w:r w:rsidRPr="00ED6591">
        <w:rPr>
          <w:rFonts w:ascii="Arial" w:hAnsi="Arial" w:cs="Arial"/>
          <w:szCs w:val="20"/>
        </w:rPr>
        <w:tab/>
      </w:r>
      <w:r w:rsidRPr="00ED6591">
        <w:rPr>
          <w:rFonts w:ascii="Arial" w:hAnsi="Arial" w:cs="Arial"/>
          <w:b/>
          <w:sz w:val="24"/>
        </w:rPr>
        <w:t xml:space="preserve">    </w:t>
      </w:r>
      <w:r>
        <w:rPr>
          <w:rFonts w:ascii="Arial" w:hAnsi="Arial" w:cs="Arial"/>
          <w:b/>
          <w:sz w:val="24"/>
        </w:rPr>
        <w:t xml:space="preserve">      </w:t>
      </w:r>
      <w:r w:rsidRPr="00ED6591">
        <w:rPr>
          <w:rFonts w:ascii="Arial" w:hAnsi="Arial" w:cs="Arial"/>
          <w:b/>
          <w:sz w:val="24"/>
        </w:rPr>
        <w:t>S</w:t>
      </w:r>
      <w:r w:rsidR="00837CD7">
        <w:rPr>
          <w:rFonts w:ascii="Arial" w:hAnsi="Arial" w:cs="Arial"/>
          <w:b/>
          <w:sz w:val="24"/>
        </w:rPr>
        <w:t>CORE (OUT OF POSSIBLE 39</w:t>
      </w:r>
      <w:r w:rsidRPr="00ED6591">
        <w:rPr>
          <w:rFonts w:ascii="Arial" w:hAnsi="Arial" w:cs="Arial"/>
          <w:b/>
          <w:sz w:val="24"/>
        </w:rPr>
        <w:t xml:space="preserve"> POINTS)</w:t>
      </w:r>
      <w:r>
        <w:rPr>
          <w:rFonts w:ascii="Arial" w:hAnsi="Arial" w:cs="Arial"/>
          <w:b/>
          <w:sz w:val="24"/>
        </w:rPr>
        <w:t>*</w:t>
      </w:r>
      <w:r w:rsidR="00EB4A09">
        <w:rPr>
          <w:rFonts w:ascii="Arial" w:hAnsi="Arial" w:cs="Arial"/>
          <w:b/>
          <w:sz w:val="24"/>
        </w:rPr>
        <w:t>*</w:t>
      </w:r>
    </w:p>
    <w:p w14:paraId="643CECD7" w14:textId="77777777" w:rsidR="00EA4F03" w:rsidRDefault="00EA4F03" w:rsidP="00A45648">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3583"/>
        <w:gridCol w:w="1209"/>
        <w:gridCol w:w="1209"/>
      </w:tblGrid>
      <w:tr w:rsidR="00837CD7" w14:paraId="2805F1E2" w14:textId="77777777" w:rsidTr="009B1E6C">
        <w:tc>
          <w:tcPr>
            <w:tcW w:w="0" w:type="auto"/>
          </w:tcPr>
          <w:p w14:paraId="1056E5C6" w14:textId="77777777" w:rsidR="00837CD7" w:rsidRDefault="00837CD7" w:rsidP="00A45648">
            <w:pPr>
              <w:jc w:val="center"/>
            </w:pPr>
            <w:r>
              <w:t>Company and Ticker Symbol</w:t>
            </w:r>
          </w:p>
        </w:tc>
        <w:tc>
          <w:tcPr>
            <w:tcW w:w="0" w:type="auto"/>
          </w:tcPr>
          <w:p w14:paraId="70B9A575" w14:textId="77777777" w:rsidR="00837CD7" w:rsidRDefault="00837CD7" w:rsidP="00A45648">
            <w:pPr>
              <w:jc w:val="center"/>
            </w:pPr>
            <w:r>
              <w:t>2015 Score</w:t>
            </w:r>
          </w:p>
        </w:tc>
        <w:tc>
          <w:tcPr>
            <w:tcW w:w="0" w:type="auto"/>
          </w:tcPr>
          <w:p w14:paraId="1D0D731D" w14:textId="77777777" w:rsidR="00837CD7" w:rsidRDefault="00837CD7" w:rsidP="00A45648">
            <w:pPr>
              <w:jc w:val="center"/>
            </w:pPr>
            <w:r>
              <w:t>2014 Score</w:t>
            </w:r>
          </w:p>
        </w:tc>
      </w:tr>
      <w:tr w:rsidR="00837CD7" w14:paraId="79B6652C" w14:textId="77777777" w:rsidTr="009B1E6C">
        <w:tc>
          <w:tcPr>
            <w:tcW w:w="0" w:type="auto"/>
          </w:tcPr>
          <w:p w14:paraId="071D367C" w14:textId="77777777" w:rsidR="00837CD7" w:rsidRDefault="00837CD7" w:rsidP="00A45648">
            <w:r>
              <w:t>BHP Billiton Ltd. (BHP)</w:t>
            </w:r>
          </w:p>
        </w:tc>
        <w:tc>
          <w:tcPr>
            <w:tcW w:w="0" w:type="auto"/>
          </w:tcPr>
          <w:p w14:paraId="06BFDC30" w14:textId="77777777" w:rsidR="00837CD7" w:rsidRDefault="00837CD7" w:rsidP="00A45648">
            <w:pPr>
              <w:jc w:val="center"/>
            </w:pPr>
            <w:r>
              <w:t>32</w:t>
            </w:r>
          </w:p>
        </w:tc>
        <w:tc>
          <w:tcPr>
            <w:tcW w:w="0" w:type="auto"/>
          </w:tcPr>
          <w:p w14:paraId="096EC634" w14:textId="77777777" w:rsidR="00837CD7" w:rsidRDefault="00837CD7" w:rsidP="00A45648">
            <w:pPr>
              <w:jc w:val="center"/>
            </w:pPr>
            <w:r>
              <w:t>18</w:t>
            </w:r>
          </w:p>
        </w:tc>
      </w:tr>
      <w:tr w:rsidR="00837CD7" w14:paraId="4ED8A9CC" w14:textId="77777777" w:rsidTr="009B1E6C">
        <w:tc>
          <w:tcPr>
            <w:tcW w:w="0" w:type="auto"/>
          </w:tcPr>
          <w:p w14:paraId="6554303C" w14:textId="77777777" w:rsidR="00837CD7" w:rsidRDefault="00837CD7" w:rsidP="00A45648">
            <w:r>
              <w:t>Hess Corp. (HES)</w:t>
            </w:r>
          </w:p>
        </w:tc>
        <w:tc>
          <w:tcPr>
            <w:tcW w:w="0" w:type="auto"/>
          </w:tcPr>
          <w:p w14:paraId="69CB5353" w14:textId="77777777" w:rsidR="00837CD7" w:rsidRDefault="00837CD7" w:rsidP="00A45648">
            <w:pPr>
              <w:jc w:val="center"/>
            </w:pPr>
            <w:r>
              <w:t>21</w:t>
            </w:r>
          </w:p>
        </w:tc>
        <w:tc>
          <w:tcPr>
            <w:tcW w:w="0" w:type="auto"/>
          </w:tcPr>
          <w:p w14:paraId="384875B6" w14:textId="77777777" w:rsidR="00837CD7" w:rsidRDefault="00837CD7" w:rsidP="00A45648">
            <w:pPr>
              <w:jc w:val="center"/>
            </w:pPr>
            <w:r>
              <w:t>17</w:t>
            </w:r>
          </w:p>
        </w:tc>
      </w:tr>
      <w:tr w:rsidR="00837CD7" w14:paraId="47358F42" w14:textId="77777777" w:rsidTr="009B1E6C">
        <w:tc>
          <w:tcPr>
            <w:tcW w:w="0" w:type="auto"/>
          </w:tcPr>
          <w:p w14:paraId="68F6D96A" w14:textId="77777777" w:rsidR="00837CD7" w:rsidRDefault="00837CD7" w:rsidP="00A45648">
            <w:r>
              <w:t>Apache Corp. (APA)</w:t>
            </w:r>
          </w:p>
        </w:tc>
        <w:tc>
          <w:tcPr>
            <w:tcW w:w="0" w:type="auto"/>
          </w:tcPr>
          <w:p w14:paraId="60FF9D55" w14:textId="77777777" w:rsidR="00837CD7" w:rsidRDefault="00837CD7" w:rsidP="00A45648">
            <w:pPr>
              <w:jc w:val="center"/>
            </w:pPr>
            <w:r>
              <w:t>20</w:t>
            </w:r>
          </w:p>
        </w:tc>
        <w:tc>
          <w:tcPr>
            <w:tcW w:w="0" w:type="auto"/>
          </w:tcPr>
          <w:p w14:paraId="4943C050" w14:textId="77777777" w:rsidR="00837CD7" w:rsidRDefault="00837CD7" w:rsidP="00A45648">
            <w:pPr>
              <w:jc w:val="center"/>
            </w:pPr>
            <w:r>
              <w:t>13</w:t>
            </w:r>
          </w:p>
        </w:tc>
      </w:tr>
      <w:tr w:rsidR="00837CD7" w14:paraId="27188299" w14:textId="77777777" w:rsidTr="009B1E6C">
        <w:tc>
          <w:tcPr>
            <w:tcW w:w="0" w:type="auto"/>
          </w:tcPr>
          <w:p w14:paraId="6CC5BAC7" w14:textId="77777777" w:rsidR="00837CD7" w:rsidRDefault="00837CD7" w:rsidP="00A45648">
            <w:r>
              <w:t>Noble Energy, Inc. (NBL)</w:t>
            </w:r>
          </w:p>
        </w:tc>
        <w:tc>
          <w:tcPr>
            <w:tcW w:w="0" w:type="auto"/>
          </w:tcPr>
          <w:p w14:paraId="789B6265" w14:textId="77777777" w:rsidR="00837CD7" w:rsidRDefault="00837CD7" w:rsidP="00A45648">
            <w:pPr>
              <w:jc w:val="center"/>
            </w:pPr>
            <w:r w:rsidRPr="00DC2CEE">
              <w:t>19</w:t>
            </w:r>
          </w:p>
        </w:tc>
        <w:tc>
          <w:tcPr>
            <w:tcW w:w="0" w:type="auto"/>
          </w:tcPr>
          <w:p w14:paraId="7C1AB180" w14:textId="77777777" w:rsidR="00837CD7" w:rsidRDefault="00837CD7" w:rsidP="00A45648">
            <w:pPr>
              <w:jc w:val="center"/>
            </w:pPr>
            <w:r>
              <w:t>13</w:t>
            </w:r>
          </w:p>
        </w:tc>
      </w:tr>
      <w:tr w:rsidR="00837CD7" w14:paraId="7AB62E8A" w14:textId="77777777" w:rsidTr="009B1E6C">
        <w:tc>
          <w:tcPr>
            <w:tcW w:w="0" w:type="auto"/>
          </w:tcPr>
          <w:p w14:paraId="7256EE3D" w14:textId="77777777" w:rsidR="00837CD7" w:rsidRDefault="00837CD7" w:rsidP="00A45648">
            <w:r>
              <w:t>CONSOL Energy Inc. (CNX)</w:t>
            </w:r>
          </w:p>
        </w:tc>
        <w:tc>
          <w:tcPr>
            <w:tcW w:w="0" w:type="auto"/>
          </w:tcPr>
          <w:p w14:paraId="0BFE7F04" w14:textId="77777777" w:rsidR="00837CD7" w:rsidRDefault="00837CD7" w:rsidP="00A45648">
            <w:pPr>
              <w:jc w:val="center"/>
            </w:pPr>
            <w:r>
              <w:t>19</w:t>
            </w:r>
          </w:p>
        </w:tc>
        <w:tc>
          <w:tcPr>
            <w:tcW w:w="0" w:type="auto"/>
          </w:tcPr>
          <w:p w14:paraId="3D5B82D0" w14:textId="77777777" w:rsidR="00837CD7" w:rsidRDefault="00837CD7" w:rsidP="00A45648">
            <w:pPr>
              <w:jc w:val="center"/>
            </w:pPr>
            <w:r>
              <w:t>5</w:t>
            </w:r>
          </w:p>
        </w:tc>
      </w:tr>
      <w:tr w:rsidR="00837CD7" w14:paraId="05E9A2A8" w14:textId="77777777" w:rsidTr="009B1E6C">
        <w:tc>
          <w:tcPr>
            <w:tcW w:w="0" w:type="auto"/>
          </w:tcPr>
          <w:p w14:paraId="3A246130" w14:textId="77777777" w:rsidR="00837CD7" w:rsidRDefault="00837CD7" w:rsidP="00A45648">
            <w:r>
              <w:t>Southwestern Energy Co. (SWN)</w:t>
            </w:r>
          </w:p>
        </w:tc>
        <w:tc>
          <w:tcPr>
            <w:tcW w:w="0" w:type="auto"/>
          </w:tcPr>
          <w:p w14:paraId="20B14E6C" w14:textId="77777777" w:rsidR="00837CD7" w:rsidRDefault="00837CD7" w:rsidP="00A45648">
            <w:pPr>
              <w:jc w:val="center"/>
            </w:pPr>
            <w:r w:rsidRPr="00DC2CEE">
              <w:t>16</w:t>
            </w:r>
          </w:p>
        </w:tc>
        <w:tc>
          <w:tcPr>
            <w:tcW w:w="0" w:type="auto"/>
          </w:tcPr>
          <w:p w14:paraId="4D1A52DC" w14:textId="77777777" w:rsidR="00837CD7" w:rsidRDefault="00837CD7" w:rsidP="00A45648">
            <w:pPr>
              <w:jc w:val="center"/>
            </w:pPr>
            <w:r>
              <w:t>2</w:t>
            </w:r>
          </w:p>
        </w:tc>
      </w:tr>
      <w:tr w:rsidR="00837CD7" w:rsidRPr="00DC2CEE" w14:paraId="756833B6" w14:textId="77777777" w:rsidTr="009B1E6C">
        <w:tc>
          <w:tcPr>
            <w:tcW w:w="0" w:type="auto"/>
          </w:tcPr>
          <w:p w14:paraId="6F11CD9C" w14:textId="77777777" w:rsidR="00837CD7" w:rsidRDefault="00837CD7" w:rsidP="00A45648">
            <w:r>
              <w:t>Anadarko Petroleum Corp. (APC)</w:t>
            </w:r>
          </w:p>
        </w:tc>
        <w:tc>
          <w:tcPr>
            <w:tcW w:w="0" w:type="auto"/>
          </w:tcPr>
          <w:p w14:paraId="1909DDEC" w14:textId="77777777" w:rsidR="00837CD7" w:rsidRDefault="00837CD7" w:rsidP="00A45648">
            <w:pPr>
              <w:jc w:val="center"/>
            </w:pPr>
            <w:r>
              <w:t>15</w:t>
            </w:r>
          </w:p>
        </w:tc>
        <w:tc>
          <w:tcPr>
            <w:tcW w:w="0" w:type="auto"/>
          </w:tcPr>
          <w:p w14:paraId="2A937124" w14:textId="77777777" w:rsidR="00837CD7" w:rsidRDefault="00837CD7" w:rsidP="00A45648">
            <w:pPr>
              <w:jc w:val="center"/>
            </w:pPr>
            <w:r>
              <w:t>8</w:t>
            </w:r>
          </w:p>
        </w:tc>
      </w:tr>
      <w:tr w:rsidR="00837CD7" w14:paraId="7D3C8441" w14:textId="77777777" w:rsidTr="009B1E6C">
        <w:tc>
          <w:tcPr>
            <w:tcW w:w="0" w:type="auto"/>
          </w:tcPr>
          <w:p w14:paraId="3994D1D1" w14:textId="77777777" w:rsidR="00837CD7" w:rsidRDefault="00837CD7" w:rsidP="00A45648">
            <w:r>
              <w:t>QEP Resources, Inc. (QEP)</w:t>
            </w:r>
          </w:p>
        </w:tc>
        <w:tc>
          <w:tcPr>
            <w:tcW w:w="0" w:type="auto"/>
          </w:tcPr>
          <w:p w14:paraId="1D420CC7" w14:textId="77777777" w:rsidR="00837CD7" w:rsidRDefault="00837CD7" w:rsidP="00A45648">
            <w:pPr>
              <w:jc w:val="center"/>
            </w:pPr>
            <w:r>
              <w:t>15</w:t>
            </w:r>
          </w:p>
        </w:tc>
        <w:tc>
          <w:tcPr>
            <w:tcW w:w="0" w:type="auto"/>
          </w:tcPr>
          <w:p w14:paraId="09F0FD92" w14:textId="77777777" w:rsidR="00837CD7" w:rsidRDefault="00837CD7" w:rsidP="00A45648">
            <w:pPr>
              <w:jc w:val="center"/>
            </w:pPr>
            <w:r>
              <w:t>1</w:t>
            </w:r>
          </w:p>
        </w:tc>
      </w:tr>
      <w:tr w:rsidR="00837CD7" w14:paraId="5C429AAC" w14:textId="77777777" w:rsidTr="009B1E6C">
        <w:tc>
          <w:tcPr>
            <w:tcW w:w="0" w:type="auto"/>
          </w:tcPr>
          <w:p w14:paraId="15AAB6FD" w14:textId="77777777" w:rsidR="00837CD7" w:rsidRDefault="00837CD7" w:rsidP="00A45648">
            <w:r>
              <w:t>EQT Corp. (EQT)</w:t>
            </w:r>
          </w:p>
        </w:tc>
        <w:tc>
          <w:tcPr>
            <w:tcW w:w="0" w:type="auto"/>
          </w:tcPr>
          <w:p w14:paraId="513AC7AC" w14:textId="77777777" w:rsidR="00837CD7" w:rsidRDefault="00837CD7" w:rsidP="00A45648">
            <w:pPr>
              <w:jc w:val="center"/>
            </w:pPr>
            <w:r>
              <w:t>14</w:t>
            </w:r>
          </w:p>
        </w:tc>
        <w:tc>
          <w:tcPr>
            <w:tcW w:w="0" w:type="auto"/>
          </w:tcPr>
          <w:p w14:paraId="570B016D" w14:textId="77777777" w:rsidR="00837CD7" w:rsidRDefault="00837CD7" w:rsidP="00A45648">
            <w:pPr>
              <w:jc w:val="center"/>
            </w:pPr>
            <w:r>
              <w:t>16</w:t>
            </w:r>
          </w:p>
        </w:tc>
      </w:tr>
      <w:tr w:rsidR="00837CD7" w14:paraId="6A89F53F" w14:textId="77777777" w:rsidTr="009B1E6C">
        <w:tc>
          <w:tcPr>
            <w:tcW w:w="0" w:type="auto"/>
          </w:tcPr>
          <w:p w14:paraId="02349DCB" w14:textId="77777777" w:rsidR="00837CD7" w:rsidRDefault="00837CD7" w:rsidP="00A45648">
            <w:r>
              <w:t>ConocoPhillips Corp. (COP)</w:t>
            </w:r>
          </w:p>
        </w:tc>
        <w:tc>
          <w:tcPr>
            <w:tcW w:w="0" w:type="auto"/>
          </w:tcPr>
          <w:p w14:paraId="3796180A" w14:textId="77777777" w:rsidR="00837CD7" w:rsidRDefault="00837CD7" w:rsidP="00A45648">
            <w:pPr>
              <w:jc w:val="center"/>
            </w:pPr>
            <w:r>
              <w:t>11</w:t>
            </w:r>
          </w:p>
        </w:tc>
        <w:tc>
          <w:tcPr>
            <w:tcW w:w="0" w:type="auto"/>
          </w:tcPr>
          <w:p w14:paraId="14250052" w14:textId="77777777" w:rsidR="00837CD7" w:rsidRDefault="00837CD7" w:rsidP="00A45648">
            <w:pPr>
              <w:jc w:val="center"/>
            </w:pPr>
            <w:r>
              <w:t>5</w:t>
            </w:r>
          </w:p>
        </w:tc>
      </w:tr>
      <w:tr w:rsidR="00837CD7" w14:paraId="05286ABC" w14:textId="77777777" w:rsidTr="009B1E6C">
        <w:tc>
          <w:tcPr>
            <w:tcW w:w="0" w:type="auto"/>
          </w:tcPr>
          <w:p w14:paraId="49925936" w14:textId="77777777" w:rsidR="00837CD7" w:rsidRDefault="00837CD7" w:rsidP="00A45648">
            <w:r>
              <w:t>Range Resources Corp. (RRC)</w:t>
            </w:r>
          </w:p>
        </w:tc>
        <w:tc>
          <w:tcPr>
            <w:tcW w:w="0" w:type="auto"/>
          </w:tcPr>
          <w:p w14:paraId="0E7558F8" w14:textId="77777777" w:rsidR="00837CD7" w:rsidRDefault="00837CD7" w:rsidP="00A45648">
            <w:pPr>
              <w:jc w:val="center"/>
            </w:pPr>
            <w:r>
              <w:t>11</w:t>
            </w:r>
          </w:p>
        </w:tc>
        <w:tc>
          <w:tcPr>
            <w:tcW w:w="0" w:type="auto"/>
          </w:tcPr>
          <w:p w14:paraId="46E2C83B" w14:textId="77777777" w:rsidR="00837CD7" w:rsidRDefault="00837CD7" w:rsidP="00A45648">
            <w:pPr>
              <w:jc w:val="center"/>
            </w:pPr>
            <w:r>
              <w:t>9</w:t>
            </w:r>
          </w:p>
        </w:tc>
      </w:tr>
      <w:tr w:rsidR="00837CD7" w14:paraId="765A1F90" w14:textId="77777777" w:rsidTr="009B1E6C">
        <w:tc>
          <w:tcPr>
            <w:tcW w:w="0" w:type="auto"/>
          </w:tcPr>
          <w:p w14:paraId="7A9365F7" w14:textId="77777777" w:rsidR="00837CD7" w:rsidRDefault="00837CD7" w:rsidP="00A45648">
            <w:r>
              <w:t>Royal Dutch Shell plc (RDS)</w:t>
            </w:r>
          </w:p>
        </w:tc>
        <w:tc>
          <w:tcPr>
            <w:tcW w:w="0" w:type="auto"/>
          </w:tcPr>
          <w:p w14:paraId="03BBB35D" w14:textId="77777777" w:rsidR="00837CD7" w:rsidRDefault="00837CD7" w:rsidP="00A45648">
            <w:pPr>
              <w:jc w:val="center"/>
            </w:pPr>
            <w:r>
              <w:t>11</w:t>
            </w:r>
          </w:p>
        </w:tc>
        <w:tc>
          <w:tcPr>
            <w:tcW w:w="0" w:type="auto"/>
          </w:tcPr>
          <w:p w14:paraId="52DCA95C" w14:textId="77777777" w:rsidR="00837CD7" w:rsidRDefault="00837CD7" w:rsidP="00A45648">
            <w:pPr>
              <w:jc w:val="center"/>
            </w:pPr>
            <w:r>
              <w:t>9</w:t>
            </w:r>
          </w:p>
        </w:tc>
      </w:tr>
      <w:tr w:rsidR="00837CD7" w14:paraId="66B6EFEA" w14:textId="77777777" w:rsidTr="009B1E6C">
        <w:tc>
          <w:tcPr>
            <w:tcW w:w="0" w:type="auto"/>
          </w:tcPr>
          <w:p w14:paraId="7A79BBCA" w14:textId="77777777" w:rsidR="00837CD7" w:rsidRDefault="00837CD7" w:rsidP="00A45648">
            <w:r>
              <w:t>Occidental Petroleum Corp. (OXY)</w:t>
            </w:r>
          </w:p>
        </w:tc>
        <w:tc>
          <w:tcPr>
            <w:tcW w:w="0" w:type="auto"/>
          </w:tcPr>
          <w:p w14:paraId="2B26248D" w14:textId="77777777" w:rsidR="00837CD7" w:rsidRDefault="00837CD7" w:rsidP="00A45648">
            <w:pPr>
              <w:jc w:val="center"/>
            </w:pPr>
            <w:r w:rsidRPr="00DC2CEE">
              <w:t>10</w:t>
            </w:r>
          </w:p>
        </w:tc>
        <w:tc>
          <w:tcPr>
            <w:tcW w:w="0" w:type="auto"/>
          </w:tcPr>
          <w:p w14:paraId="71550BE9" w14:textId="77777777" w:rsidR="00837CD7" w:rsidRDefault="00837CD7" w:rsidP="00A45648">
            <w:pPr>
              <w:jc w:val="center"/>
            </w:pPr>
            <w:r>
              <w:t>7</w:t>
            </w:r>
          </w:p>
        </w:tc>
      </w:tr>
      <w:tr w:rsidR="00837CD7" w14:paraId="2C43ACC0" w14:textId="77777777" w:rsidTr="009B1E6C">
        <w:tc>
          <w:tcPr>
            <w:tcW w:w="0" w:type="auto"/>
          </w:tcPr>
          <w:p w14:paraId="131ED108" w14:textId="77777777" w:rsidR="00837CD7" w:rsidRDefault="00837CD7" w:rsidP="00A45648">
            <w:r>
              <w:t>Penn Virginia Corp. (PVA)</w:t>
            </w:r>
          </w:p>
        </w:tc>
        <w:tc>
          <w:tcPr>
            <w:tcW w:w="0" w:type="auto"/>
          </w:tcPr>
          <w:p w14:paraId="2045DE66" w14:textId="77777777" w:rsidR="00837CD7" w:rsidRDefault="00837CD7" w:rsidP="00A45648">
            <w:pPr>
              <w:jc w:val="center"/>
            </w:pPr>
            <w:r>
              <w:t>10</w:t>
            </w:r>
          </w:p>
        </w:tc>
        <w:tc>
          <w:tcPr>
            <w:tcW w:w="0" w:type="auto"/>
          </w:tcPr>
          <w:p w14:paraId="3371B543" w14:textId="77777777" w:rsidR="00837CD7" w:rsidRDefault="00837CD7" w:rsidP="00A45648">
            <w:pPr>
              <w:jc w:val="center"/>
            </w:pPr>
            <w:r>
              <w:t>9</w:t>
            </w:r>
          </w:p>
        </w:tc>
      </w:tr>
      <w:tr w:rsidR="00837CD7" w14:paraId="2538A386" w14:textId="77777777" w:rsidTr="009B1E6C">
        <w:tc>
          <w:tcPr>
            <w:tcW w:w="0" w:type="auto"/>
          </w:tcPr>
          <w:p w14:paraId="3B46FA52" w14:textId="77777777" w:rsidR="00837CD7" w:rsidRDefault="00837CD7" w:rsidP="00A45648">
            <w:r>
              <w:t>BP plc (BP)</w:t>
            </w:r>
          </w:p>
        </w:tc>
        <w:tc>
          <w:tcPr>
            <w:tcW w:w="0" w:type="auto"/>
          </w:tcPr>
          <w:p w14:paraId="2CFDFAF3" w14:textId="77777777" w:rsidR="00837CD7" w:rsidRDefault="00837CD7" w:rsidP="00A45648">
            <w:pPr>
              <w:jc w:val="center"/>
            </w:pPr>
            <w:r>
              <w:t>8</w:t>
            </w:r>
          </w:p>
        </w:tc>
        <w:tc>
          <w:tcPr>
            <w:tcW w:w="0" w:type="auto"/>
          </w:tcPr>
          <w:p w14:paraId="269109FB" w14:textId="77777777" w:rsidR="00837CD7" w:rsidRDefault="00837CD7" w:rsidP="00A45648">
            <w:pPr>
              <w:jc w:val="center"/>
            </w:pPr>
            <w:r>
              <w:t>6</w:t>
            </w:r>
          </w:p>
        </w:tc>
      </w:tr>
      <w:tr w:rsidR="00837CD7" w14:paraId="73992002" w14:textId="77777777" w:rsidTr="009B1E6C">
        <w:tc>
          <w:tcPr>
            <w:tcW w:w="0" w:type="auto"/>
          </w:tcPr>
          <w:p w14:paraId="08E60E25" w14:textId="77777777" w:rsidR="00837CD7" w:rsidRDefault="00837CD7" w:rsidP="00A45648">
            <w:r>
              <w:t>Cabot Oil &amp; Gas Corp. (COG)</w:t>
            </w:r>
          </w:p>
        </w:tc>
        <w:tc>
          <w:tcPr>
            <w:tcW w:w="0" w:type="auto"/>
          </w:tcPr>
          <w:p w14:paraId="7CB95956" w14:textId="77777777" w:rsidR="00837CD7" w:rsidRDefault="00837CD7" w:rsidP="00A45648">
            <w:pPr>
              <w:jc w:val="center"/>
            </w:pPr>
            <w:r>
              <w:t>8</w:t>
            </w:r>
          </w:p>
        </w:tc>
        <w:tc>
          <w:tcPr>
            <w:tcW w:w="0" w:type="auto"/>
          </w:tcPr>
          <w:p w14:paraId="6DA52569" w14:textId="77777777" w:rsidR="00837CD7" w:rsidRDefault="00837CD7" w:rsidP="00A45648">
            <w:pPr>
              <w:jc w:val="center"/>
            </w:pPr>
            <w:r>
              <w:t>8</w:t>
            </w:r>
          </w:p>
        </w:tc>
      </w:tr>
      <w:tr w:rsidR="00837CD7" w14:paraId="26FE1DC6" w14:textId="77777777" w:rsidTr="009B1E6C">
        <w:tc>
          <w:tcPr>
            <w:tcW w:w="0" w:type="auto"/>
          </w:tcPr>
          <w:p w14:paraId="546DD819" w14:textId="77777777" w:rsidR="00837CD7" w:rsidRDefault="00837CD7" w:rsidP="00A45648">
            <w:r>
              <w:t>Encana Corp. (ECA)</w:t>
            </w:r>
          </w:p>
        </w:tc>
        <w:tc>
          <w:tcPr>
            <w:tcW w:w="0" w:type="auto"/>
          </w:tcPr>
          <w:p w14:paraId="15081C2A" w14:textId="77777777" w:rsidR="00837CD7" w:rsidRDefault="00837CD7" w:rsidP="00A45648">
            <w:pPr>
              <w:jc w:val="center"/>
            </w:pPr>
            <w:r>
              <w:t>8</w:t>
            </w:r>
          </w:p>
        </w:tc>
        <w:tc>
          <w:tcPr>
            <w:tcW w:w="0" w:type="auto"/>
          </w:tcPr>
          <w:p w14:paraId="732D2C01" w14:textId="77777777" w:rsidR="00837CD7" w:rsidRDefault="00837CD7" w:rsidP="00A45648">
            <w:pPr>
              <w:jc w:val="center"/>
            </w:pPr>
            <w:r>
              <w:t>15</w:t>
            </w:r>
          </w:p>
        </w:tc>
      </w:tr>
      <w:tr w:rsidR="00837CD7" w14:paraId="43731668" w14:textId="77777777" w:rsidTr="009B1E6C">
        <w:tc>
          <w:tcPr>
            <w:tcW w:w="0" w:type="auto"/>
          </w:tcPr>
          <w:p w14:paraId="7DC8EEB2" w14:textId="77777777" w:rsidR="00837CD7" w:rsidRDefault="00837CD7" w:rsidP="00A45648">
            <w:r>
              <w:t>EOG Resources, Inc. (EOG)</w:t>
            </w:r>
          </w:p>
        </w:tc>
        <w:tc>
          <w:tcPr>
            <w:tcW w:w="0" w:type="auto"/>
          </w:tcPr>
          <w:p w14:paraId="207A2498" w14:textId="77777777" w:rsidR="00837CD7" w:rsidRDefault="00837CD7" w:rsidP="00A45648">
            <w:pPr>
              <w:jc w:val="center"/>
            </w:pPr>
            <w:r>
              <w:t>8</w:t>
            </w:r>
          </w:p>
        </w:tc>
        <w:tc>
          <w:tcPr>
            <w:tcW w:w="0" w:type="auto"/>
          </w:tcPr>
          <w:p w14:paraId="08DA8D80" w14:textId="77777777" w:rsidR="00837CD7" w:rsidRDefault="00837CD7" w:rsidP="00A45648">
            <w:pPr>
              <w:jc w:val="center"/>
            </w:pPr>
            <w:r>
              <w:t>9</w:t>
            </w:r>
          </w:p>
        </w:tc>
      </w:tr>
      <w:tr w:rsidR="00837CD7" w14:paraId="3914994B" w14:textId="77777777" w:rsidTr="009B1E6C">
        <w:tc>
          <w:tcPr>
            <w:tcW w:w="0" w:type="auto"/>
          </w:tcPr>
          <w:p w14:paraId="312F6262" w14:textId="77777777" w:rsidR="00837CD7" w:rsidRDefault="00837CD7" w:rsidP="00A45648">
            <w:r>
              <w:t>Exco Resources, Inc. (XCO)</w:t>
            </w:r>
          </w:p>
        </w:tc>
        <w:tc>
          <w:tcPr>
            <w:tcW w:w="0" w:type="auto"/>
          </w:tcPr>
          <w:p w14:paraId="01DE11D6" w14:textId="77777777" w:rsidR="00837CD7" w:rsidRDefault="00837CD7" w:rsidP="00A45648">
            <w:pPr>
              <w:jc w:val="center"/>
            </w:pPr>
            <w:r>
              <w:t>7</w:t>
            </w:r>
          </w:p>
        </w:tc>
        <w:tc>
          <w:tcPr>
            <w:tcW w:w="0" w:type="auto"/>
          </w:tcPr>
          <w:p w14:paraId="3F5EF61D" w14:textId="77777777" w:rsidR="00837CD7" w:rsidRDefault="00837CD7" w:rsidP="00A45648">
            <w:pPr>
              <w:jc w:val="center"/>
            </w:pPr>
            <w:r>
              <w:t>7</w:t>
            </w:r>
          </w:p>
        </w:tc>
      </w:tr>
      <w:tr w:rsidR="00837CD7" w14:paraId="457D183C" w14:textId="77777777" w:rsidTr="009B1E6C">
        <w:tc>
          <w:tcPr>
            <w:tcW w:w="0" w:type="auto"/>
          </w:tcPr>
          <w:p w14:paraId="6649AC28" w14:textId="77777777" w:rsidR="00837CD7" w:rsidRDefault="00837CD7" w:rsidP="00A45648">
            <w:r>
              <w:t>Devon Energy Corp. (DVN)</w:t>
            </w:r>
          </w:p>
        </w:tc>
        <w:tc>
          <w:tcPr>
            <w:tcW w:w="0" w:type="auto"/>
          </w:tcPr>
          <w:p w14:paraId="335E7989" w14:textId="77777777" w:rsidR="00837CD7" w:rsidRDefault="00837CD7" w:rsidP="00A45648">
            <w:pPr>
              <w:jc w:val="center"/>
            </w:pPr>
            <w:r>
              <w:t>7</w:t>
            </w:r>
          </w:p>
        </w:tc>
        <w:tc>
          <w:tcPr>
            <w:tcW w:w="0" w:type="auto"/>
          </w:tcPr>
          <w:p w14:paraId="4A69520A" w14:textId="77777777" w:rsidR="00837CD7" w:rsidRDefault="00837CD7" w:rsidP="00A45648">
            <w:pPr>
              <w:jc w:val="center"/>
            </w:pPr>
            <w:r>
              <w:t>5</w:t>
            </w:r>
          </w:p>
        </w:tc>
      </w:tr>
      <w:tr w:rsidR="00837CD7" w14:paraId="5628A214" w14:textId="77777777" w:rsidTr="009B1E6C">
        <w:tc>
          <w:tcPr>
            <w:tcW w:w="0" w:type="auto"/>
          </w:tcPr>
          <w:p w14:paraId="6B177E07" w14:textId="77777777" w:rsidR="00837CD7" w:rsidRDefault="00837CD7" w:rsidP="00A45648">
            <w:r>
              <w:t>Newfield Exploration Co. (NFX)</w:t>
            </w:r>
          </w:p>
        </w:tc>
        <w:tc>
          <w:tcPr>
            <w:tcW w:w="0" w:type="auto"/>
          </w:tcPr>
          <w:p w14:paraId="7F4AB046" w14:textId="77777777" w:rsidR="00837CD7" w:rsidRDefault="00837CD7" w:rsidP="00A45648">
            <w:pPr>
              <w:jc w:val="center"/>
            </w:pPr>
            <w:r>
              <w:t>6</w:t>
            </w:r>
          </w:p>
        </w:tc>
        <w:tc>
          <w:tcPr>
            <w:tcW w:w="0" w:type="auto"/>
          </w:tcPr>
          <w:p w14:paraId="6F59769F" w14:textId="77777777" w:rsidR="00837CD7" w:rsidRDefault="00837CD7" w:rsidP="00A45648">
            <w:pPr>
              <w:jc w:val="center"/>
            </w:pPr>
            <w:r>
              <w:t>4</w:t>
            </w:r>
          </w:p>
        </w:tc>
      </w:tr>
      <w:tr w:rsidR="00837CD7" w14:paraId="3FA7B011" w14:textId="77777777" w:rsidTr="009B1E6C">
        <w:tc>
          <w:tcPr>
            <w:tcW w:w="0" w:type="auto"/>
          </w:tcPr>
          <w:p w14:paraId="6FDEBDE4" w14:textId="77777777" w:rsidR="00837CD7" w:rsidRDefault="00837CD7" w:rsidP="00A45648">
            <w:r>
              <w:t>Chesapeake Energy Corp. (CHK)</w:t>
            </w:r>
          </w:p>
        </w:tc>
        <w:tc>
          <w:tcPr>
            <w:tcW w:w="0" w:type="auto"/>
          </w:tcPr>
          <w:p w14:paraId="4F27D1DB" w14:textId="77777777" w:rsidR="00837CD7" w:rsidRDefault="00837CD7" w:rsidP="00A45648">
            <w:pPr>
              <w:jc w:val="center"/>
            </w:pPr>
            <w:r>
              <w:t>4</w:t>
            </w:r>
          </w:p>
        </w:tc>
        <w:tc>
          <w:tcPr>
            <w:tcW w:w="0" w:type="auto"/>
          </w:tcPr>
          <w:p w14:paraId="45AAAC7A" w14:textId="77777777" w:rsidR="00837CD7" w:rsidRDefault="00837CD7" w:rsidP="00A45648">
            <w:pPr>
              <w:jc w:val="center"/>
            </w:pPr>
            <w:r>
              <w:t>7</w:t>
            </w:r>
          </w:p>
        </w:tc>
      </w:tr>
      <w:tr w:rsidR="00837CD7" w14:paraId="6A97FE5C" w14:textId="77777777" w:rsidTr="009B1E6C">
        <w:tc>
          <w:tcPr>
            <w:tcW w:w="0" w:type="auto"/>
          </w:tcPr>
          <w:p w14:paraId="1F1A5DA9" w14:textId="77777777" w:rsidR="00837CD7" w:rsidRDefault="00837CD7" w:rsidP="00A45648">
            <w:r>
              <w:t>Chevron Corp. (CVX)</w:t>
            </w:r>
          </w:p>
        </w:tc>
        <w:tc>
          <w:tcPr>
            <w:tcW w:w="0" w:type="auto"/>
          </w:tcPr>
          <w:p w14:paraId="5187DBEF" w14:textId="77777777" w:rsidR="00837CD7" w:rsidRDefault="00837CD7" w:rsidP="00A45648">
            <w:pPr>
              <w:jc w:val="center"/>
            </w:pPr>
            <w:r>
              <w:t>4</w:t>
            </w:r>
          </w:p>
        </w:tc>
        <w:tc>
          <w:tcPr>
            <w:tcW w:w="0" w:type="auto"/>
          </w:tcPr>
          <w:p w14:paraId="640D3ADC" w14:textId="77777777" w:rsidR="00837CD7" w:rsidRDefault="00837CD7" w:rsidP="00A45648">
            <w:pPr>
              <w:jc w:val="center"/>
            </w:pPr>
            <w:r>
              <w:t>6</w:t>
            </w:r>
          </w:p>
        </w:tc>
      </w:tr>
      <w:tr w:rsidR="00837CD7" w14:paraId="15E35DE5" w14:textId="77777777" w:rsidTr="009B1E6C">
        <w:tc>
          <w:tcPr>
            <w:tcW w:w="0" w:type="auto"/>
          </w:tcPr>
          <w:p w14:paraId="6405F399" w14:textId="77777777" w:rsidR="00837CD7" w:rsidRDefault="00837CD7" w:rsidP="00A45648">
            <w:r>
              <w:lastRenderedPageBreak/>
              <w:t>Exxon Mobil Corp. (XOM)</w:t>
            </w:r>
          </w:p>
        </w:tc>
        <w:tc>
          <w:tcPr>
            <w:tcW w:w="0" w:type="auto"/>
          </w:tcPr>
          <w:p w14:paraId="535F2F2A" w14:textId="77777777" w:rsidR="00837CD7" w:rsidRDefault="00837CD7" w:rsidP="00A45648">
            <w:pPr>
              <w:jc w:val="center"/>
            </w:pPr>
            <w:r>
              <w:t>4</w:t>
            </w:r>
          </w:p>
        </w:tc>
        <w:tc>
          <w:tcPr>
            <w:tcW w:w="0" w:type="auto"/>
          </w:tcPr>
          <w:p w14:paraId="05A13E65" w14:textId="77777777" w:rsidR="00837CD7" w:rsidRDefault="00837CD7" w:rsidP="00A45648">
            <w:pPr>
              <w:jc w:val="center"/>
            </w:pPr>
            <w:r>
              <w:t>5</w:t>
            </w:r>
          </w:p>
        </w:tc>
      </w:tr>
      <w:tr w:rsidR="00837CD7" w14:paraId="345B344B" w14:textId="77777777" w:rsidTr="009B1E6C">
        <w:tc>
          <w:tcPr>
            <w:tcW w:w="0" w:type="auto"/>
          </w:tcPr>
          <w:p w14:paraId="4E95CC51" w14:textId="77777777" w:rsidR="00837CD7" w:rsidRDefault="00837CD7" w:rsidP="00A45648">
            <w:r>
              <w:t>Pioneer Natural Resources Co.* (PXD)</w:t>
            </w:r>
          </w:p>
        </w:tc>
        <w:tc>
          <w:tcPr>
            <w:tcW w:w="0" w:type="auto"/>
          </w:tcPr>
          <w:p w14:paraId="63CC2D1E" w14:textId="77777777" w:rsidR="00837CD7" w:rsidRDefault="00837CD7" w:rsidP="00A45648">
            <w:pPr>
              <w:jc w:val="center"/>
            </w:pPr>
            <w:r>
              <w:t>3</w:t>
            </w:r>
          </w:p>
        </w:tc>
        <w:tc>
          <w:tcPr>
            <w:tcW w:w="0" w:type="auto"/>
          </w:tcPr>
          <w:p w14:paraId="2AEBD51B" w14:textId="77777777" w:rsidR="00837CD7" w:rsidRDefault="00837CD7" w:rsidP="00A45648">
            <w:pPr>
              <w:jc w:val="center"/>
            </w:pPr>
            <w:r>
              <w:t>--</w:t>
            </w:r>
          </w:p>
        </w:tc>
      </w:tr>
      <w:tr w:rsidR="00837CD7" w14:paraId="7817A8D0" w14:textId="77777777" w:rsidTr="009B1E6C">
        <w:tc>
          <w:tcPr>
            <w:tcW w:w="0" w:type="auto"/>
          </w:tcPr>
          <w:p w14:paraId="29F1DFAA" w14:textId="77777777" w:rsidR="00837CD7" w:rsidRDefault="00837CD7" w:rsidP="00A45648">
            <w:r>
              <w:t>Ultra Petroleum Corp. (UPL)</w:t>
            </w:r>
          </w:p>
        </w:tc>
        <w:tc>
          <w:tcPr>
            <w:tcW w:w="0" w:type="auto"/>
          </w:tcPr>
          <w:p w14:paraId="3F1E3BFF" w14:textId="77777777" w:rsidR="00837CD7" w:rsidRDefault="00837CD7" w:rsidP="00A45648">
            <w:pPr>
              <w:jc w:val="center"/>
            </w:pPr>
            <w:r>
              <w:t>3</w:t>
            </w:r>
          </w:p>
        </w:tc>
        <w:tc>
          <w:tcPr>
            <w:tcW w:w="0" w:type="auto"/>
          </w:tcPr>
          <w:p w14:paraId="05F08B2B" w14:textId="77777777" w:rsidR="00837CD7" w:rsidRDefault="00837CD7" w:rsidP="00A45648">
            <w:pPr>
              <w:jc w:val="center"/>
            </w:pPr>
            <w:r>
              <w:t>9</w:t>
            </w:r>
          </w:p>
        </w:tc>
      </w:tr>
      <w:tr w:rsidR="00837CD7" w14:paraId="2622C03F" w14:textId="77777777" w:rsidTr="009B1E6C">
        <w:tc>
          <w:tcPr>
            <w:tcW w:w="0" w:type="auto"/>
          </w:tcPr>
          <w:p w14:paraId="3EB43C9B" w14:textId="77777777" w:rsidR="00837CD7" w:rsidRDefault="00837CD7" w:rsidP="00A45648">
            <w:r>
              <w:t>WPX Energy, Inc. (WPX)</w:t>
            </w:r>
          </w:p>
        </w:tc>
        <w:tc>
          <w:tcPr>
            <w:tcW w:w="0" w:type="auto"/>
          </w:tcPr>
          <w:p w14:paraId="2385E8B1" w14:textId="77777777" w:rsidR="00837CD7" w:rsidRDefault="00837CD7" w:rsidP="00A45648">
            <w:pPr>
              <w:jc w:val="center"/>
            </w:pPr>
            <w:r>
              <w:t>3</w:t>
            </w:r>
          </w:p>
        </w:tc>
        <w:tc>
          <w:tcPr>
            <w:tcW w:w="0" w:type="auto"/>
          </w:tcPr>
          <w:p w14:paraId="633C94BB" w14:textId="77777777" w:rsidR="00837CD7" w:rsidRDefault="00837CD7" w:rsidP="00A45648">
            <w:pPr>
              <w:jc w:val="center"/>
            </w:pPr>
            <w:r>
              <w:t>3</w:t>
            </w:r>
          </w:p>
        </w:tc>
      </w:tr>
      <w:tr w:rsidR="00837CD7" w14:paraId="75005D90" w14:textId="77777777" w:rsidTr="009B1E6C">
        <w:tc>
          <w:tcPr>
            <w:tcW w:w="0" w:type="auto"/>
          </w:tcPr>
          <w:p w14:paraId="1E360376" w14:textId="77777777" w:rsidR="00837CD7" w:rsidRDefault="00837CD7" w:rsidP="00A45648">
            <w:r>
              <w:t>Continental Resources, Inc. (CLR)</w:t>
            </w:r>
          </w:p>
        </w:tc>
        <w:tc>
          <w:tcPr>
            <w:tcW w:w="0" w:type="auto"/>
          </w:tcPr>
          <w:p w14:paraId="192F7FCA" w14:textId="77777777" w:rsidR="00837CD7" w:rsidRDefault="00837CD7" w:rsidP="00A45648">
            <w:pPr>
              <w:jc w:val="center"/>
            </w:pPr>
            <w:r>
              <w:t>2</w:t>
            </w:r>
          </w:p>
        </w:tc>
        <w:tc>
          <w:tcPr>
            <w:tcW w:w="0" w:type="auto"/>
          </w:tcPr>
          <w:p w14:paraId="4E462B85" w14:textId="77777777" w:rsidR="00837CD7" w:rsidRDefault="00837CD7" w:rsidP="00A45648">
            <w:pPr>
              <w:jc w:val="center"/>
            </w:pPr>
            <w:r>
              <w:t>2</w:t>
            </w:r>
          </w:p>
        </w:tc>
      </w:tr>
      <w:tr w:rsidR="00837CD7" w14:paraId="144AC2E8" w14:textId="77777777" w:rsidTr="009B1E6C">
        <w:tc>
          <w:tcPr>
            <w:tcW w:w="0" w:type="auto"/>
          </w:tcPr>
          <w:p w14:paraId="2A124BC2" w14:textId="77777777" w:rsidR="00837CD7" w:rsidRDefault="00837CD7" w:rsidP="00A45648">
            <w:r>
              <w:t>Whiting Petroleum Corp. (WLL)</w:t>
            </w:r>
          </w:p>
        </w:tc>
        <w:tc>
          <w:tcPr>
            <w:tcW w:w="0" w:type="auto"/>
          </w:tcPr>
          <w:p w14:paraId="1AF1216D" w14:textId="77777777" w:rsidR="00837CD7" w:rsidRDefault="00837CD7" w:rsidP="00A45648">
            <w:pPr>
              <w:jc w:val="center"/>
            </w:pPr>
            <w:r>
              <w:t>2</w:t>
            </w:r>
          </w:p>
        </w:tc>
        <w:tc>
          <w:tcPr>
            <w:tcW w:w="0" w:type="auto"/>
          </w:tcPr>
          <w:p w14:paraId="2F9C252C" w14:textId="77777777" w:rsidR="00837CD7" w:rsidRDefault="00837CD7" w:rsidP="00A45648">
            <w:pPr>
              <w:jc w:val="center"/>
            </w:pPr>
            <w:r>
              <w:t>3</w:t>
            </w:r>
          </w:p>
        </w:tc>
      </w:tr>
      <w:tr w:rsidR="00837CD7" w14:paraId="56F3FEC4" w14:textId="77777777" w:rsidTr="009B1E6C">
        <w:tc>
          <w:tcPr>
            <w:tcW w:w="0" w:type="auto"/>
          </w:tcPr>
          <w:p w14:paraId="1324016C" w14:textId="77777777" w:rsidR="00837CD7" w:rsidRDefault="00837CD7" w:rsidP="00A45648">
            <w:r>
              <w:t>Carrizo Oil &amp; Gas, Inc. (CRZO)</w:t>
            </w:r>
          </w:p>
        </w:tc>
        <w:tc>
          <w:tcPr>
            <w:tcW w:w="0" w:type="auto"/>
          </w:tcPr>
          <w:p w14:paraId="6757361E" w14:textId="77777777" w:rsidR="00837CD7" w:rsidRDefault="00837CD7" w:rsidP="00A45648">
            <w:pPr>
              <w:jc w:val="center"/>
            </w:pPr>
            <w:r>
              <w:t>0</w:t>
            </w:r>
          </w:p>
        </w:tc>
        <w:tc>
          <w:tcPr>
            <w:tcW w:w="0" w:type="auto"/>
          </w:tcPr>
          <w:p w14:paraId="17C40B58" w14:textId="77777777" w:rsidR="00837CD7" w:rsidRDefault="00837CD7" w:rsidP="00A45648">
            <w:pPr>
              <w:jc w:val="center"/>
            </w:pPr>
            <w:r>
              <w:t>0</w:t>
            </w:r>
          </w:p>
        </w:tc>
      </w:tr>
    </w:tbl>
    <w:p w14:paraId="69819033" w14:textId="77777777" w:rsidR="00A2614A" w:rsidRDefault="00A2614A" w:rsidP="00A45648">
      <w:pPr>
        <w:spacing w:after="0" w:line="240" w:lineRule="auto"/>
        <w:contextualSpacing/>
        <w:rPr>
          <w:rFonts w:ascii="Arial" w:hAnsi="Arial" w:cs="Arial"/>
          <w:sz w:val="16"/>
          <w:szCs w:val="16"/>
        </w:rPr>
      </w:pPr>
    </w:p>
    <w:p w14:paraId="2A85DD0E" w14:textId="77777777" w:rsidR="00837CD7" w:rsidRDefault="00837CD7" w:rsidP="00A45648">
      <w:pPr>
        <w:spacing w:after="0" w:line="240" w:lineRule="auto"/>
        <w:contextualSpacing/>
        <w:rPr>
          <w:rFonts w:ascii="Arial" w:hAnsi="Arial" w:cs="Arial"/>
          <w:b/>
          <w:sz w:val="16"/>
          <w:szCs w:val="16"/>
        </w:rPr>
      </w:pPr>
      <w:r w:rsidRPr="00837CD7">
        <w:rPr>
          <w:rFonts w:ascii="Arial" w:hAnsi="Arial" w:cs="Arial"/>
          <w:b/>
          <w:sz w:val="16"/>
          <w:szCs w:val="16"/>
        </w:rPr>
        <w:t>*For the 2015 scorecard, Pioneer Natural Resources was substituted for Talisman Energy, Inc., which was acquired by Repsol, S.A.</w:t>
      </w:r>
    </w:p>
    <w:p w14:paraId="6C7E2478" w14:textId="77777777" w:rsidR="00EB4A09" w:rsidRDefault="00EB4A09" w:rsidP="00EB4A09">
      <w:pPr>
        <w:spacing w:after="0" w:line="240" w:lineRule="auto"/>
        <w:contextualSpacing/>
        <w:rPr>
          <w:rFonts w:ascii="Arial" w:hAnsi="Arial" w:cs="Arial"/>
          <w:b/>
          <w:sz w:val="16"/>
          <w:szCs w:val="16"/>
        </w:rPr>
      </w:pPr>
      <w:r>
        <w:rPr>
          <w:rFonts w:ascii="Arial" w:hAnsi="Arial" w:cs="Arial"/>
          <w:b/>
          <w:sz w:val="16"/>
          <w:szCs w:val="16"/>
        </w:rPr>
        <w:t>**2014’s scorecard had a total of 35 possible points.</w:t>
      </w:r>
    </w:p>
    <w:p w14:paraId="3E4A0D40" w14:textId="77777777" w:rsidR="00EA4F03" w:rsidRDefault="00EA4F03" w:rsidP="00A45648">
      <w:pPr>
        <w:spacing w:after="0" w:line="240" w:lineRule="auto"/>
        <w:contextualSpacing/>
        <w:rPr>
          <w:rFonts w:ascii="Arial" w:hAnsi="Arial" w:cs="Arial"/>
          <w:b/>
          <w:sz w:val="16"/>
          <w:szCs w:val="16"/>
        </w:rPr>
      </w:pPr>
    </w:p>
    <w:p w14:paraId="39EB1B41" w14:textId="77777777" w:rsidR="00A2614A" w:rsidRDefault="00837CD7" w:rsidP="00A45648">
      <w:pPr>
        <w:spacing w:after="0" w:line="240" w:lineRule="auto"/>
        <w:rPr>
          <w:rFonts w:ascii="Arial" w:hAnsi="Arial" w:cs="Arial"/>
          <w:sz w:val="20"/>
          <w:szCs w:val="20"/>
        </w:rPr>
      </w:pPr>
      <w:r w:rsidRPr="00837CD7">
        <w:rPr>
          <w:rFonts w:ascii="Arial" w:hAnsi="Arial" w:cs="Arial"/>
          <w:sz w:val="20"/>
          <w:szCs w:val="20"/>
        </w:rPr>
        <w:t xml:space="preserve">The three most significant scoring changes on indicators between 2014 and 2015 were for: play-by-play reporting of the types of water sources used for fracturing activities (from </w:t>
      </w:r>
      <w:r w:rsidR="004D6D2B">
        <w:rPr>
          <w:rFonts w:ascii="Arial" w:hAnsi="Arial" w:cs="Arial"/>
          <w:sz w:val="20"/>
          <w:szCs w:val="20"/>
        </w:rPr>
        <w:t>one to six</w:t>
      </w:r>
      <w:r w:rsidRPr="00837CD7">
        <w:rPr>
          <w:rFonts w:ascii="Arial" w:hAnsi="Arial" w:cs="Arial"/>
          <w:sz w:val="20"/>
          <w:szCs w:val="20"/>
        </w:rPr>
        <w:t xml:space="preserve"> companies); percentages of wastewater reused for fracturing (from </w:t>
      </w:r>
      <w:r w:rsidR="004D6D2B">
        <w:rPr>
          <w:rFonts w:ascii="Arial" w:hAnsi="Arial" w:cs="Arial"/>
          <w:sz w:val="20"/>
          <w:szCs w:val="20"/>
        </w:rPr>
        <w:t>two to seven</w:t>
      </w:r>
      <w:r w:rsidRPr="00837CD7">
        <w:rPr>
          <w:rFonts w:ascii="Arial" w:hAnsi="Arial" w:cs="Arial"/>
          <w:sz w:val="20"/>
          <w:szCs w:val="20"/>
        </w:rPr>
        <w:t xml:space="preserve">); and addressing naturally occurring radioactive materials (NORMs) (from </w:t>
      </w:r>
      <w:r w:rsidR="004D6D2B">
        <w:rPr>
          <w:rFonts w:ascii="Arial" w:hAnsi="Arial" w:cs="Arial"/>
          <w:sz w:val="20"/>
          <w:szCs w:val="20"/>
        </w:rPr>
        <w:t>six to 12</w:t>
      </w:r>
      <w:r w:rsidRPr="00837CD7">
        <w:rPr>
          <w:rFonts w:ascii="Arial" w:hAnsi="Arial" w:cs="Arial"/>
          <w:sz w:val="20"/>
          <w:szCs w:val="20"/>
        </w:rPr>
        <w:t>).</w:t>
      </w:r>
    </w:p>
    <w:p w14:paraId="0B815FA3" w14:textId="77777777" w:rsidR="00A2614A" w:rsidRPr="00A2614A" w:rsidRDefault="00A2614A" w:rsidP="00A45648">
      <w:pPr>
        <w:spacing w:after="0" w:line="240" w:lineRule="auto"/>
        <w:rPr>
          <w:rFonts w:ascii="Arial" w:hAnsi="Arial" w:cs="Arial"/>
          <w:sz w:val="20"/>
          <w:szCs w:val="20"/>
        </w:rPr>
      </w:pPr>
    </w:p>
    <w:p w14:paraId="7D3EAD94" w14:textId="77777777" w:rsidR="00A2614A" w:rsidRDefault="00A2614A" w:rsidP="00A45648">
      <w:pPr>
        <w:spacing w:after="0" w:line="240" w:lineRule="auto"/>
        <w:rPr>
          <w:rFonts w:ascii="Arial" w:hAnsi="Arial" w:cs="Arial"/>
          <w:b/>
          <w:bCs/>
          <w:color w:val="000000"/>
          <w:sz w:val="20"/>
          <w:szCs w:val="20"/>
          <w:u w:val="single"/>
        </w:rPr>
      </w:pPr>
      <w:r>
        <w:rPr>
          <w:rFonts w:ascii="Arial" w:hAnsi="Arial" w:cs="Arial"/>
          <w:b/>
          <w:bCs/>
          <w:color w:val="000000"/>
          <w:sz w:val="20"/>
          <w:szCs w:val="20"/>
          <w:u w:val="single"/>
        </w:rPr>
        <w:t>ABOUT THE GROUPS</w:t>
      </w:r>
    </w:p>
    <w:p w14:paraId="6895FDE6" w14:textId="77777777" w:rsidR="00A45648" w:rsidRPr="00A2614A" w:rsidRDefault="00A45648" w:rsidP="00A45648">
      <w:pPr>
        <w:spacing w:after="0" w:line="240" w:lineRule="auto"/>
        <w:rPr>
          <w:rFonts w:ascii="Arial" w:hAnsi="Arial" w:cs="Arial"/>
          <w:b/>
          <w:bCs/>
          <w:color w:val="000000"/>
          <w:sz w:val="20"/>
          <w:szCs w:val="20"/>
          <w:u w:val="single"/>
        </w:rPr>
      </w:pPr>
    </w:p>
    <w:p w14:paraId="5D3A5990" w14:textId="77777777" w:rsidR="00A2614A" w:rsidRDefault="00A2614A" w:rsidP="00A45648">
      <w:pPr>
        <w:spacing w:after="0" w:line="240" w:lineRule="auto"/>
        <w:rPr>
          <w:rFonts w:ascii="Arial" w:hAnsi="Arial" w:cs="Arial"/>
          <w:color w:val="000000"/>
          <w:sz w:val="20"/>
          <w:szCs w:val="20"/>
        </w:rPr>
      </w:pPr>
      <w:r>
        <w:rPr>
          <w:rFonts w:ascii="Arial" w:hAnsi="Arial" w:cs="Arial"/>
          <w:color w:val="000000"/>
          <w:sz w:val="20"/>
          <w:szCs w:val="20"/>
        </w:rPr>
        <w:t>As You Sow (</w:t>
      </w:r>
      <w:hyperlink r:id="rId8" w:history="1">
        <w:r>
          <w:rPr>
            <w:rStyle w:val="Hyperlink"/>
            <w:rFonts w:ascii="Arial" w:hAnsi="Arial" w:cs="Arial"/>
            <w:sz w:val="20"/>
            <w:szCs w:val="20"/>
          </w:rPr>
          <w:t>http://www.asyousow.org/</w:t>
        </w:r>
      </w:hyperlink>
      <w:r>
        <w:rPr>
          <w:rFonts w:ascii="Arial" w:hAnsi="Arial" w:cs="Arial"/>
          <w:color w:val="000000"/>
          <w:sz w:val="20"/>
          <w:szCs w:val="20"/>
        </w:rPr>
        <w:t>) promotes environmental and social corporate responsibility through shareholder advocacy, coalition building, and innovative legal strategies. Its efforts create large-scale systemic change by establishing sustainable and equitable corporate practices.</w:t>
      </w:r>
    </w:p>
    <w:p w14:paraId="228AD091" w14:textId="77777777" w:rsidR="00A45648" w:rsidRDefault="00A45648" w:rsidP="00A45648">
      <w:pPr>
        <w:spacing w:after="0" w:line="240" w:lineRule="auto"/>
        <w:rPr>
          <w:rFonts w:ascii="Arial" w:hAnsi="Arial" w:cs="Arial"/>
          <w:color w:val="000000"/>
          <w:sz w:val="20"/>
          <w:szCs w:val="20"/>
        </w:rPr>
      </w:pPr>
    </w:p>
    <w:p w14:paraId="427009B1" w14:textId="77777777" w:rsidR="00A2614A" w:rsidRDefault="00A2614A" w:rsidP="00A45648">
      <w:pPr>
        <w:spacing w:after="0" w:line="240" w:lineRule="auto"/>
        <w:rPr>
          <w:rFonts w:ascii="Arial" w:hAnsi="Arial" w:cs="Arial"/>
          <w:color w:val="000000"/>
          <w:sz w:val="20"/>
          <w:szCs w:val="20"/>
        </w:rPr>
      </w:pPr>
      <w:r>
        <w:rPr>
          <w:rFonts w:ascii="Arial" w:hAnsi="Arial" w:cs="Arial"/>
          <w:color w:val="000000"/>
          <w:sz w:val="20"/>
          <w:szCs w:val="20"/>
        </w:rPr>
        <w:t>Boston Common Asset Management, LLC (</w:t>
      </w:r>
      <w:hyperlink r:id="rId9" w:history="1">
        <w:r>
          <w:rPr>
            <w:rStyle w:val="Hyperlink"/>
            <w:rFonts w:ascii="Arial" w:hAnsi="Arial" w:cs="Arial"/>
            <w:sz w:val="20"/>
            <w:szCs w:val="20"/>
          </w:rPr>
          <w:t>http://www.bostoncommonasset.com/</w:t>
        </w:r>
      </w:hyperlink>
      <w:r>
        <w:rPr>
          <w:rFonts w:ascii="Arial" w:hAnsi="Arial" w:cs="Arial"/>
          <w:color w:val="000000"/>
          <w:sz w:val="20"/>
          <w:szCs w:val="20"/>
        </w:rPr>
        <w:t xml:space="preserve">) is </w:t>
      </w:r>
      <w:r w:rsidRPr="00C33324">
        <w:rPr>
          <w:rFonts w:ascii="Arial" w:hAnsi="Arial" w:cs="Arial"/>
          <w:color w:val="000000"/>
          <w:sz w:val="20"/>
          <w:szCs w:val="20"/>
        </w:rPr>
        <w:t>a sustainable investment firm dedicated to generating competitive financial returns and meaningful improvements in corporate performance on environmental, social, and governance (ESG) issues. We are long-term investors. We believe that markets typically misvalue the timing and magnitude of risks and opportunities presented by ESG factors. Therefore, our investment strategy is to build and grow diversified portfolios using the high-quality but undervalued sustainable stocks that our integrated investment research identifies. As part of this, we look to add value through targeted company and industry engagement efforts.</w:t>
      </w:r>
    </w:p>
    <w:p w14:paraId="5F309BEC" w14:textId="77777777" w:rsidR="00A45648" w:rsidRDefault="00A45648" w:rsidP="00A45648">
      <w:pPr>
        <w:spacing w:after="0" w:line="240" w:lineRule="auto"/>
        <w:rPr>
          <w:rFonts w:ascii="Arial" w:hAnsi="Arial" w:cs="Arial"/>
          <w:color w:val="000000"/>
          <w:sz w:val="20"/>
          <w:szCs w:val="20"/>
        </w:rPr>
      </w:pPr>
    </w:p>
    <w:p w14:paraId="66DA97A8" w14:textId="713AA883" w:rsidR="00A2614A" w:rsidRDefault="00A2614A" w:rsidP="00A45648">
      <w:pPr>
        <w:spacing w:after="0" w:line="240" w:lineRule="auto"/>
        <w:rPr>
          <w:rFonts w:ascii="Arial" w:hAnsi="Arial" w:cs="Arial"/>
          <w:color w:val="000000"/>
          <w:sz w:val="20"/>
          <w:szCs w:val="20"/>
        </w:rPr>
      </w:pPr>
      <w:r>
        <w:rPr>
          <w:rFonts w:ascii="Arial" w:hAnsi="Arial" w:cs="Arial"/>
          <w:color w:val="000000"/>
          <w:sz w:val="20"/>
          <w:szCs w:val="20"/>
        </w:rPr>
        <w:t>The Investor Environmental Health Network (</w:t>
      </w:r>
      <w:r>
        <w:t>http://www.iehn.org</w:t>
      </w:r>
      <w:r>
        <w:rPr>
          <w:rFonts w:ascii="Arial" w:hAnsi="Arial" w:cs="Arial"/>
          <w:color w:val="000000"/>
          <w:sz w:val="20"/>
          <w:szCs w:val="20"/>
        </w:rPr>
        <w:t xml:space="preserve">) is a collaborative partnership of investment managers and advisors concerned about the impact of corporate practices on environmental health. </w:t>
      </w:r>
    </w:p>
    <w:p w14:paraId="6AF8E996" w14:textId="77777777" w:rsidR="00A45648" w:rsidRDefault="00A45648" w:rsidP="00A45648">
      <w:pPr>
        <w:spacing w:after="0" w:line="240" w:lineRule="auto"/>
        <w:rPr>
          <w:rFonts w:ascii="Arial" w:hAnsi="Arial" w:cs="Arial"/>
          <w:color w:val="000000"/>
          <w:sz w:val="20"/>
          <w:szCs w:val="20"/>
        </w:rPr>
      </w:pPr>
    </w:p>
    <w:p w14:paraId="6A260C5C" w14:textId="77777777" w:rsidR="00A2614A" w:rsidRDefault="00A2614A" w:rsidP="00A45648">
      <w:pPr>
        <w:spacing w:after="0" w:line="240" w:lineRule="auto"/>
        <w:rPr>
          <w:rFonts w:ascii="Arial" w:hAnsi="Arial" w:cs="Arial"/>
          <w:b/>
          <w:bCs/>
          <w:color w:val="000000"/>
          <w:sz w:val="20"/>
          <w:szCs w:val="20"/>
        </w:rPr>
      </w:pPr>
      <w:r>
        <w:rPr>
          <w:rFonts w:ascii="Arial" w:hAnsi="Arial" w:cs="Arial"/>
          <w:b/>
          <w:bCs/>
          <w:color w:val="000000"/>
          <w:sz w:val="20"/>
          <w:szCs w:val="20"/>
          <w:u w:val="single"/>
        </w:rPr>
        <w:t>MEDIA CONTACT:</w:t>
      </w:r>
      <w:r>
        <w:rPr>
          <w:rFonts w:ascii="Arial" w:hAnsi="Arial" w:cs="Arial"/>
          <w:b/>
          <w:bCs/>
          <w:color w:val="000000"/>
          <w:sz w:val="20"/>
          <w:szCs w:val="20"/>
        </w:rPr>
        <w:t xml:space="preserve">  </w:t>
      </w:r>
      <w:r>
        <w:rPr>
          <w:rFonts w:ascii="Arial" w:hAnsi="Arial" w:cs="Arial"/>
          <w:color w:val="000000"/>
          <w:sz w:val="20"/>
          <w:szCs w:val="20"/>
        </w:rPr>
        <w:t xml:space="preserve">Patrick Mitchell at (703) 276-3266 or </w:t>
      </w:r>
      <w:hyperlink r:id="rId10" w:history="1">
        <w:r>
          <w:rPr>
            <w:rStyle w:val="Hyperlink"/>
            <w:rFonts w:ascii="Arial" w:hAnsi="Arial" w:cs="Arial"/>
            <w:sz w:val="20"/>
            <w:szCs w:val="20"/>
          </w:rPr>
          <w:t>pmitchell@hastingsgroup.com</w:t>
        </w:r>
      </w:hyperlink>
      <w:r>
        <w:rPr>
          <w:rFonts w:ascii="Arial" w:hAnsi="Arial" w:cs="Arial"/>
          <w:color w:val="000000"/>
          <w:sz w:val="20"/>
          <w:szCs w:val="20"/>
        </w:rPr>
        <w:t>.</w:t>
      </w:r>
      <w:r>
        <w:rPr>
          <w:rFonts w:ascii="Arial" w:hAnsi="Arial" w:cs="Arial"/>
          <w:b/>
          <w:bCs/>
          <w:color w:val="000000"/>
          <w:sz w:val="20"/>
          <w:szCs w:val="20"/>
        </w:rPr>
        <w:t xml:space="preserve"> </w:t>
      </w:r>
    </w:p>
    <w:p w14:paraId="50B522C7" w14:textId="77777777" w:rsidR="00A45648" w:rsidRPr="00A2614A" w:rsidRDefault="00A45648" w:rsidP="00A45648">
      <w:pPr>
        <w:spacing w:after="0" w:line="240" w:lineRule="auto"/>
        <w:rPr>
          <w:rFonts w:ascii="Arial" w:hAnsi="Arial" w:cs="Arial"/>
          <w:color w:val="000000"/>
          <w:sz w:val="20"/>
          <w:szCs w:val="20"/>
        </w:rPr>
      </w:pPr>
    </w:p>
    <w:p w14:paraId="500401B6" w14:textId="77777777" w:rsidR="00A2614A" w:rsidRPr="004742BE" w:rsidRDefault="00A2614A" w:rsidP="00A45648">
      <w:pPr>
        <w:spacing w:after="0" w:line="240" w:lineRule="auto"/>
        <w:rPr>
          <w:rFonts w:ascii="Arial" w:hAnsi="Arial" w:cs="Arial"/>
          <w:i/>
          <w:color w:val="000000"/>
          <w:sz w:val="16"/>
          <w:szCs w:val="16"/>
        </w:rPr>
      </w:pPr>
      <w:r w:rsidRPr="004742BE">
        <w:rPr>
          <w:rFonts w:ascii="Arial" w:hAnsi="Arial" w:cs="Arial"/>
          <w:i/>
          <w:color w:val="000000"/>
          <w:sz w:val="16"/>
          <w:szCs w:val="16"/>
        </w:rPr>
        <w:t>The information in this document should not be considered an offer or a recommendation to buy or sell any security, is not designed to be investment advice and should not be relied upon to make investment decisions. We cannot and do not comment on the suitability or profitability of any particular investment. Past performance does not guarantee future results. All investments involve risk, including the risk of losing principal. Boston Common Asset Management and the mutual funds that it manages may have invested in and may in the future invest in some of the companies mentioned in this report.</w:t>
      </w:r>
    </w:p>
    <w:p w14:paraId="44C27FA7" w14:textId="77777777" w:rsidR="00FA1648" w:rsidRPr="00483448" w:rsidRDefault="00FA1648" w:rsidP="00FA087F">
      <w:pPr>
        <w:pStyle w:val="PlainText"/>
        <w:rPr>
          <w:rFonts w:ascii="Arial" w:hAnsi="Arial" w:cs="Arial"/>
          <w:sz w:val="20"/>
          <w:szCs w:val="20"/>
        </w:rPr>
      </w:pPr>
    </w:p>
    <w:sectPr w:rsidR="00FA1648" w:rsidRPr="00483448" w:rsidSect="00A014E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082995" w14:textId="77777777" w:rsidR="00335617" w:rsidRDefault="00335617" w:rsidP="00732453">
      <w:pPr>
        <w:spacing w:after="0" w:line="240" w:lineRule="auto"/>
      </w:pPr>
      <w:r>
        <w:separator/>
      </w:r>
    </w:p>
  </w:endnote>
  <w:endnote w:type="continuationSeparator" w:id="0">
    <w:p w14:paraId="221D9134" w14:textId="77777777" w:rsidR="00335617" w:rsidRDefault="00335617" w:rsidP="00732453">
      <w:pPr>
        <w:spacing w:after="0" w:line="240" w:lineRule="auto"/>
      </w:pPr>
      <w:r>
        <w:continuationSeparator/>
      </w:r>
    </w:p>
  </w:endnote>
  <w:endnote w:type="continuationNotice" w:id="1">
    <w:p w14:paraId="4DBD2AAF" w14:textId="77777777" w:rsidR="00335617" w:rsidRDefault="003356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5BA7DD" w14:textId="77777777" w:rsidR="00335617" w:rsidRDefault="00335617" w:rsidP="00732453">
      <w:pPr>
        <w:spacing w:after="0" w:line="240" w:lineRule="auto"/>
      </w:pPr>
      <w:r>
        <w:separator/>
      </w:r>
    </w:p>
  </w:footnote>
  <w:footnote w:type="continuationSeparator" w:id="0">
    <w:p w14:paraId="4E02A1CF" w14:textId="77777777" w:rsidR="00335617" w:rsidRDefault="00335617" w:rsidP="00732453">
      <w:pPr>
        <w:spacing w:after="0" w:line="240" w:lineRule="auto"/>
      </w:pPr>
      <w:r>
        <w:continuationSeparator/>
      </w:r>
    </w:p>
  </w:footnote>
  <w:footnote w:type="continuationNotice" w:id="1">
    <w:p w14:paraId="4B597093" w14:textId="77777777" w:rsidR="00335617" w:rsidRDefault="00335617">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806F45"/>
    <w:multiLevelType w:val="hybridMultilevel"/>
    <w:tmpl w:val="FCBC6E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NDE2NrOwsDA3NzO3MDdT0lEKTi0uzszPAykwqwUAvpaezywAAAA="/>
  </w:docVars>
  <w:rsids>
    <w:rsidRoot w:val="00B0125E"/>
    <w:rsid w:val="0000122A"/>
    <w:rsid w:val="00005884"/>
    <w:rsid w:val="00007483"/>
    <w:rsid w:val="0002506D"/>
    <w:rsid w:val="00033870"/>
    <w:rsid w:val="00041E04"/>
    <w:rsid w:val="0005531E"/>
    <w:rsid w:val="000645F8"/>
    <w:rsid w:val="00077E5F"/>
    <w:rsid w:val="000A1E6E"/>
    <w:rsid w:val="000B66BD"/>
    <w:rsid w:val="000D5057"/>
    <w:rsid w:val="000F07AA"/>
    <w:rsid w:val="001039A8"/>
    <w:rsid w:val="001044AE"/>
    <w:rsid w:val="00106F90"/>
    <w:rsid w:val="00107732"/>
    <w:rsid w:val="0011080F"/>
    <w:rsid w:val="00117D64"/>
    <w:rsid w:val="0014388B"/>
    <w:rsid w:val="00165606"/>
    <w:rsid w:val="001673C5"/>
    <w:rsid w:val="001675A2"/>
    <w:rsid w:val="00174D10"/>
    <w:rsid w:val="0018260A"/>
    <w:rsid w:val="00184D7E"/>
    <w:rsid w:val="001B1662"/>
    <w:rsid w:val="001B6A3D"/>
    <w:rsid w:val="001C2C83"/>
    <w:rsid w:val="001D1793"/>
    <w:rsid w:val="001D2B8B"/>
    <w:rsid w:val="001D3F73"/>
    <w:rsid w:val="001D7C7A"/>
    <w:rsid w:val="001E51E5"/>
    <w:rsid w:val="001E6A45"/>
    <w:rsid w:val="00202A24"/>
    <w:rsid w:val="002352DA"/>
    <w:rsid w:val="002428CA"/>
    <w:rsid w:val="00242D62"/>
    <w:rsid w:val="00244A01"/>
    <w:rsid w:val="002634AB"/>
    <w:rsid w:val="00272456"/>
    <w:rsid w:val="002732AA"/>
    <w:rsid w:val="0028057A"/>
    <w:rsid w:val="00280E63"/>
    <w:rsid w:val="00292AC6"/>
    <w:rsid w:val="00295915"/>
    <w:rsid w:val="002A45D6"/>
    <w:rsid w:val="002A609C"/>
    <w:rsid w:val="002C0DBC"/>
    <w:rsid w:val="002C6951"/>
    <w:rsid w:val="002D292B"/>
    <w:rsid w:val="002D4EFE"/>
    <w:rsid w:val="002E6AFE"/>
    <w:rsid w:val="002F7734"/>
    <w:rsid w:val="00305444"/>
    <w:rsid w:val="00333983"/>
    <w:rsid w:val="00335617"/>
    <w:rsid w:val="00335E59"/>
    <w:rsid w:val="0034010F"/>
    <w:rsid w:val="003419C0"/>
    <w:rsid w:val="00353DE2"/>
    <w:rsid w:val="00356F28"/>
    <w:rsid w:val="00362A21"/>
    <w:rsid w:val="00362D32"/>
    <w:rsid w:val="00363946"/>
    <w:rsid w:val="0039529A"/>
    <w:rsid w:val="003B1895"/>
    <w:rsid w:val="003B1945"/>
    <w:rsid w:val="003B1F2A"/>
    <w:rsid w:val="003C0A50"/>
    <w:rsid w:val="003C561A"/>
    <w:rsid w:val="003F4AC1"/>
    <w:rsid w:val="003F5DCF"/>
    <w:rsid w:val="00400686"/>
    <w:rsid w:val="00405075"/>
    <w:rsid w:val="004065DC"/>
    <w:rsid w:val="004123EE"/>
    <w:rsid w:val="0041259F"/>
    <w:rsid w:val="004139F7"/>
    <w:rsid w:val="004244A9"/>
    <w:rsid w:val="00440F85"/>
    <w:rsid w:val="00453360"/>
    <w:rsid w:val="00464B79"/>
    <w:rsid w:val="004742BE"/>
    <w:rsid w:val="00476713"/>
    <w:rsid w:val="00483448"/>
    <w:rsid w:val="0048446C"/>
    <w:rsid w:val="00484E58"/>
    <w:rsid w:val="004A4F8B"/>
    <w:rsid w:val="004B23C9"/>
    <w:rsid w:val="004B284C"/>
    <w:rsid w:val="004C656C"/>
    <w:rsid w:val="004D0128"/>
    <w:rsid w:val="004D1B23"/>
    <w:rsid w:val="004D65D9"/>
    <w:rsid w:val="004D6D2B"/>
    <w:rsid w:val="004E71A2"/>
    <w:rsid w:val="004F2084"/>
    <w:rsid w:val="00501DB2"/>
    <w:rsid w:val="00504257"/>
    <w:rsid w:val="0051733E"/>
    <w:rsid w:val="0052405A"/>
    <w:rsid w:val="00543C8A"/>
    <w:rsid w:val="00546119"/>
    <w:rsid w:val="00552237"/>
    <w:rsid w:val="00554DEE"/>
    <w:rsid w:val="00561A97"/>
    <w:rsid w:val="0056759F"/>
    <w:rsid w:val="00576989"/>
    <w:rsid w:val="005770C5"/>
    <w:rsid w:val="005847CA"/>
    <w:rsid w:val="005944A7"/>
    <w:rsid w:val="0059668F"/>
    <w:rsid w:val="005B469C"/>
    <w:rsid w:val="005C4201"/>
    <w:rsid w:val="005C4332"/>
    <w:rsid w:val="005D6098"/>
    <w:rsid w:val="005D7F59"/>
    <w:rsid w:val="005E12A5"/>
    <w:rsid w:val="005E46A3"/>
    <w:rsid w:val="005F1A2A"/>
    <w:rsid w:val="00607FDF"/>
    <w:rsid w:val="00616585"/>
    <w:rsid w:val="00627033"/>
    <w:rsid w:val="00640676"/>
    <w:rsid w:val="00656BE6"/>
    <w:rsid w:val="006827D9"/>
    <w:rsid w:val="00692A8D"/>
    <w:rsid w:val="0069650B"/>
    <w:rsid w:val="00697004"/>
    <w:rsid w:val="006B1671"/>
    <w:rsid w:val="006B67B8"/>
    <w:rsid w:val="006C161C"/>
    <w:rsid w:val="006C24F9"/>
    <w:rsid w:val="006C748D"/>
    <w:rsid w:val="006D19B8"/>
    <w:rsid w:val="006D5138"/>
    <w:rsid w:val="006F1AAF"/>
    <w:rsid w:val="006F2F7F"/>
    <w:rsid w:val="00700B73"/>
    <w:rsid w:val="00702266"/>
    <w:rsid w:val="007033DC"/>
    <w:rsid w:val="00715FC0"/>
    <w:rsid w:val="00732453"/>
    <w:rsid w:val="00734226"/>
    <w:rsid w:val="007418CD"/>
    <w:rsid w:val="00751362"/>
    <w:rsid w:val="007664FD"/>
    <w:rsid w:val="00780445"/>
    <w:rsid w:val="00794211"/>
    <w:rsid w:val="007958BB"/>
    <w:rsid w:val="007A3D84"/>
    <w:rsid w:val="007A63A2"/>
    <w:rsid w:val="007C7B9E"/>
    <w:rsid w:val="007D6D1A"/>
    <w:rsid w:val="007D780B"/>
    <w:rsid w:val="007D7FE4"/>
    <w:rsid w:val="007E03C4"/>
    <w:rsid w:val="007F1EE6"/>
    <w:rsid w:val="007F7611"/>
    <w:rsid w:val="00807178"/>
    <w:rsid w:val="0081667C"/>
    <w:rsid w:val="00822288"/>
    <w:rsid w:val="008228C4"/>
    <w:rsid w:val="00824744"/>
    <w:rsid w:val="00832269"/>
    <w:rsid w:val="008335FC"/>
    <w:rsid w:val="008377E0"/>
    <w:rsid w:val="00837CD7"/>
    <w:rsid w:val="00840920"/>
    <w:rsid w:val="008444FF"/>
    <w:rsid w:val="00851010"/>
    <w:rsid w:val="008566E1"/>
    <w:rsid w:val="00861378"/>
    <w:rsid w:val="0086514C"/>
    <w:rsid w:val="0089666A"/>
    <w:rsid w:val="00897A0A"/>
    <w:rsid w:val="008C12B9"/>
    <w:rsid w:val="008C2C51"/>
    <w:rsid w:val="008C7D2C"/>
    <w:rsid w:val="009020EB"/>
    <w:rsid w:val="00913157"/>
    <w:rsid w:val="00913745"/>
    <w:rsid w:val="0091386E"/>
    <w:rsid w:val="00915FDE"/>
    <w:rsid w:val="00925162"/>
    <w:rsid w:val="009404ED"/>
    <w:rsid w:val="00944724"/>
    <w:rsid w:val="00950B56"/>
    <w:rsid w:val="00953FE6"/>
    <w:rsid w:val="0095463A"/>
    <w:rsid w:val="00955254"/>
    <w:rsid w:val="00980CD0"/>
    <w:rsid w:val="00986BB8"/>
    <w:rsid w:val="00990D5C"/>
    <w:rsid w:val="00994773"/>
    <w:rsid w:val="009A4FA6"/>
    <w:rsid w:val="009B1B30"/>
    <w:rsid w:val="009B27DF"/>
    <w:rsid w:val="009D3DD3"/>
    <w:rsid w:val="009F0E68"/>
    <w:rsid w:val="00A014E5"/>
    <w:rsid w:val="00A11251"/>
    <w:rsid w:val="00A21B62"/>
    <w:rsid w:val="00A22B1E"/>
    <w:rsid w:val="00A24EEE"/>
    <w:rsid w:val="00A2614A"/>
    <w:rsid w:val="00A421FC"/>
    <w:rsid w:val="00A42B82"/>
    <w:rsid w:val="00A45648"/>
    <w:rsid w:val="00A66DE4"/>
    <w:rsid w:val="00A73B8C"/>
    <w:rsid w:val="00A86644"/>
    <w:rsid w:val="00A86BE9"/>
    <w:rsid w:val="00A975DE"/>
    <w:rsid w:val="00AA0396"/>
    <w:rsid w:val="00AA0C32"/>
    <w:rsid w:val="00AA7CDA"/>
    <w:rsid w:val="00AC1BA8"/>
    <w:rsid w:val="00AC4A61"/>
    <w:rsid w:val="00AD571F"/>
    <w:rsid w:val="00AE2C9A"/>
    <w:rsid w:val="00AE791D"/>
    <w:rsid w:val="00AF3C0F"/>
    <w:rsid w:val="00B0125E"/>
    <w:rsid w:val="00B021A8"/>
    <w:rsid w:val="00B064F3"/>
    <w:rsid w:val="00B12618"/>
    <w:rsid w:val="00B12FC9"/>
    <w:rsid w:val="00B354F4"/>
    <w:rsid w:val="00B3584F"/>
    <w:rsid w:val="00B4599B"/>
    <w:rsid w:val="00B468D1"/>
    <w:rsid w:val="00B517BB"/>
    <w:rsid w:val="00B70A1B"/>
    <w:rsid w:val="00B830F5"/>
    <w:rsid w:val="00B9213A"/>
    <w:rsid w:val="00BA16B9"/>
    <w:rsid w:val="00BA66B9"/>
    <w:rsid w:val="00BD2B6C"/>
    <w:rsid w:val="00BE1890"/>
    <w:rsid w:val="00BE2494"/>
    <w:rsid w:val="00BE4617"/>
    <w:rsid w:val="00BF43FC"/>
    <w:rsid w:val="00C01503"/>
    <w:rsid w:val="00C16604"/>
    <w:rsid w:val="00C25BF4"/>
    <w:rsid w:val="00C326A2"/>
    <w:rsid w:val="00C42B41"/>
    <w:rsid w:val="00C6584D"/>
    <w:rsid w:val="00C71F97"/>
    <w:rsid w:val="00C808F0"/>
    <w:rsid w:val="00C826C6"/>
    <w:rsid w:val="00C9306F"/>
    <w:rsid w:val="00C95E17"/>
    <w:rsid w:val="00CA4FC5"/>
    <w:rsid w:val="00CA798B"/>
    <w:rsid w:val="00CB1CBD"/>
    <w:rsid w:val="00CC38A4"/>
    <w:rsid w:val="00CC6950"/>
    <w:rsid w:val="00CD55A9"/>
    <w:rsid w:val="00D033C8"/>
    <w:rsid w:val="00D039EC"/>
    <w:rsid w:val="00D108EB"/>
    <w:rsid w:val="00D127FF"/>
    <w:rsid w:val="00D16847"/>
    <w:rsid w:val="00D32DE1"/>
    <w:rsid w:val="00D457C7"/>
    <w:rsid w:val="00D53D5A"/>
    <w:rsid w:val="00D66C60"/>
    <w:rsid w:val="00D829A8"/>
    <w:rsid w:val="00D923E2"/>
    <w:rsid w:val="00D94442"/>
    <w:rsid w:val="00DB0180"/>
    <w:rsid w:val="00DB4E09"/>
    <w:rsid w:val="00DC2A98"/>
    <w:rsid w:val="00DC4A64"/>
    <w:rsid w:val="00DC4EC8"/>
    <w:rsid w:val="00DD7029"/>
    <w:rsid w:val="00DE65BC"/>
    <w:rsid w:val="00DF5431"/>
    <w:rsid w:val="00DF755D"/>
    <w:rsid w:val="00E04A04"/>
    <w:rsid w:val="00E0785C"/>
    <w:rsid w:val="00E242AB"/>
    <w:rsid w:val="00E32C0C"/>
    <w:rsid w:val="00E46345"/>
    <w:rsid w:val="00E46EF5"/>
    <w:rsid w:val="00E54CFB"/>
    <w:rsid w:val="00E55178"/>
    <w:rsid w:val="00E648A4"/>
    <w:rsid w:val="00E7342F"/>
    <w:rsid w:val="00E75C44"/>
    <w:rsid w:val="00E77FC8"/>
    <w:rsid w:val="00E80320"/>
    <w:rsid w:val="00E8549E"/>
    <w:rsid w:val="00EA1B9D"/>
    <w:rsid w:val="00EA4F03"/>
    <w:rsid w:val="00EB4A09"/>
    <w:rsid w:val="00EC0995"/>
    <w:rsid w:val="00EC7104"/>
    <w:rsid w:val="00ED041B"/>
    <w:rsid w:val="00ED6591"/>
    <w:rsid w:val="00ED6D34"/>
    <w:rsid w:val="00ED76D4"/>
    <w:rsid w:val="00EE088A"/>
    <w:rsid w:val="00EE2A04"/>
    <w:rsid w:val="00EE3587"/>
    <w:rsid w:val="00EF0A35"/>
    <w:rsid w:val="00EF7D65"/>
    <w:rsid w:val="00F22CEB"/>
    <w:rsid w:val="00F23EC1"/>
    <w:rsid w:val="00F40115"/>
    <w:rsid w:val="00F422AA"/>
    <w:rsid w:val="00F460C4"/>
    <w:rsid w:val="00F515CF"/>
    <w:rsid w:val="00F5573D"/>
    <w:rsid w:val="00F67FF3"/>
    <w:rsid w:val="00F73EDE"/>
    <w:rsid w:val="00F80059"/>
    <w:rsid w:val="00F810C5"/>
    <w:rsid w:val="00F864EF"/>
    <w:rsid w:val="00F90AC0"/>
    <w:rsid w:val="00F939E3"/>
    <w:rsid w:val="00F9447E"/>
    <w:rsid w:val="00FA087F"/>
    <w:rsid w:val="00FA1648"/>
    <w:rsid w:val="00FA1931"/>
    <w:rsid w:val="00FA6EE0"/>
    <w:rsid w:val="00FB5531"/>
    <w:rsid w:val="00FC07C4"/>
    <w:rsid w:val="00FC1650"/>
    <w:rsid w:val="00FE23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B5520C"/>
  <w15:docId w15:val="{3D2A55E2-5A15-4FA6-8E8D-C4ED45B1A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4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73B8C"/>
    <w:rPr>
      <w:sz w:val="16"/>
      <w:szCs w:val="16"/>
    </w:rPr>
  </w:style>
  <w:style w:type="paragraph" w:styleId="CommentText">
    <w:name w:val="annotation text"/>
    <w:basedOn w:val="Normal"/>
    <w:link w:val="CommentTextChar"/>
    <w:uiPriority w:val="99"/>
    <w:semiHidden/>
    <w:unhideWhenUsed/>
    <w:rsid w:val="00A73B8C"/>
    <w:pPr>
      <w:spacing w:line="240" w:lineRule="auto"/>
    </w:pPr>
    <w:rPr>
      <w:sz w:val="20"/>
      <w:szCs w:val="20"/>
    </w:rPr>
  </w:style>
  <w:style w:type="character" w:customStyle="1" w:styleId="CommentTextChar">
    <w:name w:val="Comment Text Char"/>
    <w:basedOn w:val="DefaultParagraphFont"/>
    <w:link w:val="CommentText"/>
    <w:uiPriority w:val="99"/>
    <w:semiHidden/>
    <w:rsid w:val="00A73B8C"/>
    <w:rPr>
      <w:sz w:val="20"/>
      <w:szCs w:val="20"/>
    </w:rPr>
  </w:style>
  <w:style w:type="paragraph" w:styleId="CommentSubject">
    <w:name w:val="annotation subject"/>
    <w:basedOn w:val="CommentText"/>
    <w:next w:val="CommentText"/>
    <w:link w:val="CommentSubjectChar"/>
    <w:uiPriority w:val="99"/>
    <w:semiHidden/>
    <w:unhideWhenUsed/>
    <w:rsid w:val="00A73B8C"/>
    <w:rPr>
      <w:b/>
      <w:bCs/>
    </w:rPr>
  </w:style>
  <w:style w:type="character" w:customStyle="1" w:styleId="CommentSubjectChar">
    <w:name w:val="Comment Subject Char"/>
    <w:basedOn w:val="CommentTextChar"/>
    <w:link w:val="CommentSubject"/>
    <w:uiPriority w:val="99"/>
    <w:semiHidden/>
    <w:rsid w:val="00A73B8C"/>
    <w:rPr>
      <w:b/>
      <w:bCs/>
      <w:sz w:val="20"/>
      <w:szCs w:val="20"/>
    </w:rPr>
  </w:style>
  <w:style w:type="paragraph" w:styleId="BalloonText">
    <w:name w:val="Balloon Text"/>
    <w:basedOn w:val="Normal"/>
    <w:link w:val="BalloonTextChar"/>
    <w:uiPriority w:val="99"/>
    <w:semiHidden/>
    <w:unhideWhenUsed/>
    <w:rsid w:val="00A73B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3B8C"/>
    <w:rPr>
      <w:rFonts w:ascii="Tahoma" w:hAnsi="Tahoma" w:cs="Tahoma"/>
      <w:sz w:val="16"/>
      <w:szCs w:val="16"/>
    </w:rPr>
  </w:style>
  <w:style w:type="paragraph" w:styleId="Subtitle">
    <w:name w:val="Subtitle"/>
    <w:basedOn w:val="Normal"/>
    <w:next w:val="Normal"/>
    <w:link w:val="SubtitleChar"/>
    <w:uiPriority w:val="11"/>
    <w:qFormat/>
    <w:rsid w:val="003419C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419C0"/>
    <w:rPr>
      <w:rFonts w:asciiTheme="majorHAnsi" w:eastAsiaTheme="majorEastAsia" w:hAnsiTheme="majorHAnsi" w:cstheme="majorBidi"/>
      <w:i/>
      <w:iCs/>
      <w:color w:val="4F81BD" w:themeColor="accent1"/>
      <w:spacing w:val="15"/>
      <w:sz w:val="24"/>
      <w:szCs w:val="24"/>
    </w:rPr>
  </w:style>
  <w:style w:type="character" w:styleId="FootnoteReference">
    <w:name w:val="footnote reference"/>
    <w:semiHidden/>
    <w:rsid w:val="00732453"/>
    <w:rPr>
      <w:vertAlign w:val="superscript"/>
    </w:rPr>
  </w:style>
  <w:style w:type="paragraph" w:styleId="ListParagraph">
    <w:name w:val="List Paragraph"/>
    <w:basedOn w:val="Normal"/>
    <w:uiPriority w:val="34"/>
    <w:qFormat/>
    <w:rsid w:val="00732453"/>
    <w:pPr>
      <w:spacing w:after="0" w:line="240" w:lineRule="auto"/>
      <w:ind w:left="720"/>
      <w:contextualSpacing/>
    </w:pPr>
    <w:rPr>
      <w:rFonts w:ascii="Times New Roman" w:eastAsia="Times New Roman" w:hAnsi="Times New Roman" w:cs="Times New Roman"/>
      <w:sz w:val="24"/>
      <w:szCs w:val="24"/>
    </w:rPr>
  </w:style>
  <w:style w:type="paragraph" w:styleId="Revision">
    <w:name w:val="Revision"/>
    <w:hidden/>
    <w:uiPriority w:val="99"/>
    <w:semiHidden/>
    <w:rsid w:val="00B9213A"/>
    <w:pPr>
      <w:spacing w:after="0" w:line="240" w:lineRule="auto"/>
    </w:pPr>
  </w:style>
  <w:style w:type="paragraph" w:styleId="PlainText">
    <w:name w:val="Plain Text"/>
    <w:basedOn w:val="Normal"/>
    <w:link w:val="PlainTextChar"/>
    <w:uiPriority w:val="99"/>
    <w:unhideWhenUsed/>
    <w:rsid w:val="009F0E6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9F0E68"/>
    <w:rPr>
      <w:rFonts w:ascii="Consolas" w:hAnsi="Consolas"/>
      <w:sz w:val="21"/>
      <w:szCs w:val="21"/>
    </w:rPr>
  </w:style>
  <w:style w:type="character" w:styleId="Hyperlink">
    <w:name w:val="Hyperlink"/>
    <w:basedOn w:val="DefaultParagraphFont"/>
    <w:uiPriority w:val="99"/>
    <w:unhideWhenUsed/>
    <w:rsid w:val="00D829A8"/>
    <w:rPr>
      <w:color w:val="0000FF" w:themeColor="hyperlink"/>
      <w:u w:val="single"/>
    </w:rPr>
  </w:style>
  <w:style w:type="character" w:styleId="HTMLCite">
    <w:name w:val="HTML Cite"/>
    <w:basedOn w:val="DefaultParagraphFont"/>
    <w:uiPriority w:val="99"/>
    <w:semiHidden/>
    <w:unhideWhenUsed/>
    <w:rsid w:val="00751362"/>
    <w:rPr>
      <w:i/>
      <w:iCs/>
    </w:rPr>
  </w:style>
  <w:style w:type="paragraph" w:styleId="Header">
    <w:name w:val="header"/>
    <w:basedOn w:val="Normal"/>
    <w:link w:val="HeaderChar"/>
    <w:uiPriority w:val="99"/>
    <w:unhideWhenUsed/>
    <w:rsid w:val="00BE46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4617"/>
  </w:style>
  <w:style w:type="paragraph" w:styleId="Footer">
    <w:name w:val="footer"/>
    <w:basedOn w:val="Normal"/>
    <w:link w:val="FooterChar"/>
    <w:uiPriority w:val="99"/>
    <w:unhideWhenUsed/>
    <w:rsid w:val="00BE46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4617"/>
  </w:style>
  <w:style w:type="table" w:styleId="TableGrid">
    <w:name w:val="Table Grid"/>
    <w:basedOn w:val="TableNormal"/>
    <w:uiPriority w:val="39"/>
    <w:rsid w:val="00837C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556136">
      <w:bodyDiv w:val="1"/>
      <w:marLeft w:val="0"/>
      <w:marRight w:val="0"/>
      <w:marTop w:val="0"/>
      <w:marBottom w:val="0"/>
      <w:divBdr>
        <w:top w:val="none" w:sz="0" w:space="0" w:color="auto"/>
        <w:left w:val="none" w:sz="0" w:space="0" w:color="auto"/>
        <w:bottom w:val="none" w:sz="0" w:space="0" w:color="auto"/>
        <w:right w:val="none" w:sz="0" w:space="0" w:color="auto"/>
      </w:divBdr>
    </w:div>
    <w:div w:id="1877812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yousow.org/" TargetMode="External"/><Relationship Id="rId3" Type="http://schemas.openxmlformats.org/officeDocument/2006/relationships/settings" Target="settings.xml"/><Relationship Id="rId7" Type="http://schemas.openxmlformats.org/officeDocument/2006/relationships/hyperlink" Target="http://www.disclosingthefact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pmitchell@hastingsgroup.com" TargetMode="External"/><Relationship Id="rId4" Type="http://schemas.openxmlformats.org/officeDocument/2006/relationships/webSettings" Target="webSettings.xml"/><Relationship Id="rId9" Type="http://schemas.openxmlformats.org/officeDocument/2006/relationships/hyperlink" Target="http://www.bostoncommonass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1423</Words>
  <Characters>8116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lvonreusner</dc:creator>
  <cp:lastModifiedBy>Richard Liroff</cp:lastModifiedBy>
  <cp:revision>2</cp:revision>
  <cp:lastPrinted>2013-10-25T16:44:00Z</cp:lastPrinted>
  <dcterms:created xsi:type="dcterms:W3CDTF">2015-12-16T20:33:00Z</dcterms:created>
  <dcterms:modified xsi:type="dcterms:W3CDTF">2015-12-16T20:33:00Z</dcterms:modified>
</cp:coreProperties>
</file>